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5A" w:rsidRDefault="00477B5A">
      <w:pPr>
        <w:adjustRightInd w:val="0"/>
        <w:snapToGrid w:val="0"/>
        <w:spacing w:line="360" w:lineRule="auto"/>
        <w:jc w:val="center"/>
        <w:rPr>
          <w:rFonts w:eastAsia="黑体"/>
          <w:b/>
          <w:sz w:val="52"/>
          <w:szCs w:val="52"/>
          <w:lang w:val="zh-CN"/>
        </w:rPr>
      </w:pPr>
    </w:p>
    <w:p w:rsidR="00477B5A" w:rsidRDefault="00477B5A">
      <w:pPr>
        <w:adjustRightInd w:val="0"/>
        <w:snapToGrid w:val="0"/>
        <w:spacing w:line="360" w:lineRule="auto"/>
        <w:rPr>
          <w:rFonts w:eastAsia="黑体"/>
          <w:b/>
          <w:sz w:val="52"/>
          <w:szCs w:val="52"/>
          <w:lang w:val="zh-CN"/>
        </w:rPr>
      </w:pPr>
    </w:p>
    <w:p w:rsidR="00477B5A" w:rsidRPr="00CB7DD7" w:rsidRDefault="00241D64">
      <w:pPr>
        <w:adjustRightInd w:val="0"/>
        <w:snapToGrid w:val="0"/>
        <w:spacing w:line="360" w:lineRule="auto"/>
        <w:jc w:val="center"/>
        <w:rPr>
          <w:rFonts w:eastAsia="黑体"/>
          <w:b/>
          <w:sz w:val="48"/>
          <w:szCs w:val="48"/>
        </w:rPr>
      </w:pPr>
      <w:r w:rsidRPr="00CB7DD7">
        <w:rPr>
          <w:rFonts w:eastAsia="黑体" w:hint="eastAsia"/>
          <w:b/>
          <w:sz w:val="48"/>
          <w:szCs w:val="48"/>
          <w:lang w:val="zh-CN"/>
        </w:rPr>
        <w:t>北京</w:t>
      </w:r>
      <w:r w:rsidRPr="00CB7DD7">
        <w:rPr>
          <w:rFonts w:eastAsia="黑体" w:hint="eastAsia"/>
          <w:b/>
          <w:sz w:val="48"/>
          <w:szCs w:val="48"/>
        </w:rPr>
        <w:t>社会主义学院</w:t>
      </w:r>
    </w:p>
    <w:p w:rsidR="00477B5A" w:rsidRDefault="00241D64">
      <w:pPr>
        <w:adjustRightInd w:val="0"/>
        <w:snapToGrid w:val="0"/>
        <w:spacing w:line="360" w:lineRule="auto"/>
        <w:jc w:val="center"/>
        <w:rPr>
          <w:rFonts w:eastAsia="黑体"/>
          <w:b/>
          <w:sz w:val="52"/>
          <w:szCs w:val="52"/>
          <w:lang w:val="zh-CN"/>
        </w:rPr>
      </w:pPr>
      <w:r w:rsidRPr="00CB7DD7">
        <w:rPr>
          <w:rFonts w:eastAsia="黑体"/>
          <w:b/>
          <w:sz w:val="48"/>
          <w:szCs w:val="48"/>
          <w:lang w:val="zh-CN"/>
        </w:rPr>
        <w:t>202</w:t>
      </w:r>
      <w:r w:rsidRPr="00CB7DD7">
        <w:rPr>
          <w:rFonts w:eastAsia="黑体" w:hint="eastAsia"/>
          <w:b/>
          <w:sz w:val="48"/>
          <w:szCs w:val="48"/>
        </w:rPr>
        <w:t>2</w:t>
      </w:r>
      <w:r w:rsidRPr="00CB7DD7">
        <w:rPr>
          <w:rFonts w:eastAsia="黑体"/>
          <w:b/>
          <w:sz w:val="48"/>
          <w:szCs w:val="48"/>
          <w:lang w:val="zh-CN"/>
        </w:rPr>
        <w:t>年度部门整体绩效</w:t>
      </w:r>
      <w:r w:rsidRPr="00CB7DD7">
        <w:rPr>
          <w:rFonts w:eastAsia="黑体" w:hint="eastAsia"/>
          <w:b/>
          <w:sz w:val="48"/>
          <w:szCs w:val="48"/>
          <w:lang w:val="zh-CN"/>
        </w:rPr>
        <w:t>评价</w:t>
      </w:r>
      <w:r w:rsidRPr="00CB7DD7">
        <w:rPr>
          <w:rFonts w:eastAsia="黑体"/>
          <w:b/>
          <w:sz w:val="48"/>
          <w:szCs w:val="48"/>
          <w:lang w:val="zh-CN"/>
        </w:rPr>
        <w:t>报告</w:t>
      </w:r>
    </w:p>
    <w:p w:rsidR="00477B5A" w:rsidRDefault="00477B5A">
      <w:pPr>
        <w:ind w:firstLine="640"/>
        <w:jc w:val="center"/>
        <w:rPr>
          <w:color w:val="000000"/>
          <w:sz w:val="32"/>
        </w:rPr>
      </w:pPr>
    </w:p>
    <w:p w:rsidR="00477B5A" w:rsidRDefault="00477B5A">
      <w:pPr>
        <w:ind w:firstLine="640"/>
        <w:jc w:val="center"/>
        <w:rPr>
          <w:color w:val="000000"/>
          <w:sz w:val="32"/>
        </w:rPr>
      </w:pPr>
    </w:p>
    <w:p w:rsidR="00477B5A" w:rsidRDefault="00477B5A">
      <w:pPr>
        <w:ind w:firstLine="640"/>
        <w:jc w:val="center"/>
        <w:rPr>
          <w:color w:val="000000"/>
          <w:sz w:val="32"/>
        </w:rPr>
      </w:pPr>
    </w:p>
    <w:p w:rsidR="00477B5A" w:rsidRDefault="00477B5A">
      <w:pPr>
        <w:ind w:firstLine="640"/>
        <w:jc w:val="center"/>
        <w:rPr>
          <w:color w:val="000000"/>
          <w:sz w:val="32"/>
        </w:rPr>
      </w:pPr>
    </w:p>
    <w:p w:rsidR="00477B5A" w:rsidRDefault="00477B5A">
      <w:pPr>
        <w:ind w:firstLine="640"/>
        <w:jc w:val="center"/>
        <w:rPr>
          <w:color w:val="000000"/>
          <w:sz w:val="32"/>
        </w:rPr>
      </w:pPr>
    </w:p>
    <w:p w:rsidR="00477B5A" w:rsidRDefault="00477B5A">
      <w:pPr>
        <w:ind w:firstLine="640"/>
        <w:rPr>
          <w:color w:val="000000"/>
          <w:sz w:val="32"/>
        </w:rPr>
      </w:pPr>
    </w:p>
    <w:p w:rsidR="00477B5A" w:rsidRDefault="00477B5A">
      <w:pPr>
        <w:ind w:firstLine="643"/>
        <w:jc w:val="center"/>
        <w:rPr>
          <w:rFonts w:eastAsia="仿宋"/>
          <w:b/>
          <w:color w:val="000000"/>
          <w:sz w:val="32"/>
          <w:szCs w:val="32"/>
        </w:rPr>
      </w:pPr>
    </w:p>
    <w:p w:rsidR="00477B5A" w:rsidRDefault="00477B5A">
      <w:pPr>
        <w:pStyle w:val="3"/>
        <w:ind w:leftChars="0" w:left="0"/>
        <w:rPr>
          <w:rFonts w:eastAsia="仿宋"/>
          <w:b/>
          <w:color w:val="000000"/>
          <w:sz w:val="32"/>
          <w:szCs w:val="32"/>
        </w:rPr>
      </w:pPr>
    </w:p>
    <w:p w:rsidR="00477B5A" w:rsidRDefault="00477B5A">
      <w:pPr>
        <w:rPr>
          <w:rFonts w:eastAsia="仿宋"/>
          <w:b/>
          <w:color w:val="000000"/>
          <w:sz w:val="32"/>
          <w:szCs w:val="32"/>
        </w:rPr>
      </w:pPr>
    </w:p>
    <w:p w:rsidR="00477B5A" w:rsidRDefault="00477B5A">
      <w:pPr>
        <w:pStyle w:val="3"/>
      </w:pPr>
    </w:p>
    <w:p w:rsidR="00477B5A" w:rsidRDefault="00477B5A">
      <w:pPr>
        <w:ind w:firstLine="643"/>
        <w:jc w:val="center"/>
        <w:rPr>
          <w:rFonts w:eastAsia="仿宋"/>
          <w:b/>
          <w:color w:val="000000"/>
          <w:sz w:val="32"/>
          <w:szCs w:val="32"/>
        </w:rPr>
      </w:pPr>
    </w:p>
    <w:p w:rsidR="00477B5A" w:rsidRDefault="00241D64" w:rsidP="00CB7DD7">
      <w:pPr>
        <w:jc w:val="center"/>
      </w:pPr>
      <w:r>
        <w:rPr>
          <w:rFonts w:eastAsia="黑体" w:hint="eastAsia"/>
          <w:bCs/>
          <w:sz w:val="36"/>
          <w:szCs w:val="44"/>
        </w:rPr>
        <w:t>北京社会主义学院</w:t>
      </w:r>
    </w:p>
    <w:p w:rsidR="00477B5A" w:rsidRDefault="00241D64">
      <w:pPr>
        <w:jc w:val="center"/>
        <w:rPr>
          <w:rFonts w:eastAsia="黑体"/>
          <w:color w:val="000000"/>
          <w:sz w:val="36"/>
        </w:rPr>
      </w:pPr>
      <w:r>
        <w:rPr>
          <w:rFonts w:eastAsia="黑体"/>
          <w:bCs/>
          <w:sz w:val="36"/>
          <w:szCs w:val="44"/>
        </w:rPr>
        <w:t>202</w:t>
      </w:r>
      <w:r>
        <w:rPr>
          <w:rFonts w:eastAsia="黑体" w:hint="eastAsia"/>
          <w:bCs/>
          <w:sz w:val="36"/>
          <w:szCs w:val="44"/>
        </w:rPr>
        <w:t>3</w:t>
      </w:r>
      <w:r>
        <w:rPr>
          <w:rFonts w:eastAsia="黑体"/>
          <w:bCs/>
          <w:sz w:val="36"/>
          <w:szCs w:val="44"/>
        </w:rPr>
        <w:t>年</w:t>
      </w:r>
      <w:r>
        <w:rPr>
          <w:rFonts w:eastAsia="黑体"/>
          <w:bCs/>
          <w:sz w:val="36"/>
          <w:szCs w:val="44"/>
        </w:rPr>
        <w:t>5</w:t>
      </w:r>
      <w:r>
        <w:rPr>
          <w:rFonts w:eastAsia="黑体"/>
          <w:bCs/>
          <w:sz w:val="36"/>
          <w:szCs w:val="44"/>
        </w:rPr>
        <w:t>月</w:t>
      </w:r>
    </w:p>
    <w:p w:rsidR="00477B5A" w:rsidRDefault="00477B5A">
      <w:pPr>
        <w:spacing w:line="560" w:lineRule="exact"/>
        <w:jc w:val="center"/>
        <w:rPr>
          <w:rFonts w:eastAsia="华文中宋"/>
          <w:sz w:val="36"/>
          <w:szCs w:val="36"/>
        </w:rPr>
        <w:sectPr w:rsidR="00477B5A">
          <w:footerReference w:type="default" r:id="rId9"/>
          <w:pgSz w:w="11906" w:h="16838"/>
          <w:pgMar w:top="1440" w:right="1800" w:bottom="1440" w:left="1800" w:header="851" w:footer="992" w:gutter="0"/>
          <w:pgNumType w:fmt="numberInDash"/>
          <w:cols w:space="425"/>
          <w:docGrid w:type="lines" w:linePitch="312"/>
        </w:sectPr>
      </w:pPr>
    </w:p>
    <w:p w:rsidR="00477B5A" w:rsidRDefault="00241D64">
      <w:pPr>
        <w:jc w:val="center"/>
        <w:rPr>
          <w:rFonts w:eastAsia="黑体"/>
          <w:sz w:val="32"/>
          <w:szCs w:val="32"/>
        </w:rPr>
      </w:pPr>
      <w:r>
        <w:rPr>
          <w:rFonts w:eastAsia="黑体" w:hint="eastAsia"/>
          <w:sz w:val="32"/>
          <w:szCs w:val="32"/>
        </w:rPr>
        <w:lastRenderedPageBreak/>
        <w:t>目</w:t>
      </w:r>
      <w:r>
        <w:rPr>
          <w:rFonts w:eastAsia="黑体" w:hint="eastAsia"/>
          <w:sz w:val="32"/>
          <w:szCs w:val="32"/>
        </w:rPr>
        <w:t xml:space="preserve">  </w:t>
      </w:r>
      <w:r>
        <w:rPr>
          <w:rFonts w:eastAsia="黑体" w:hint="eastAsia"/>
          <w:sz w:val="32"/>
          <w:szCs w:val="32"/>
        </w:rPr>
        <w:t>录</w:t>
      </w:r>
    </w:p>
    <w:p w:rsidR="00477B5A" w:rsidRDefault="00477B5A">
      <w:pPr>
        <w:adjustRightInd w:val="0"/>
        <w:snapToGrid w:val="0"/>
        <w:spacing w:line="360" w:lineRule="auto"/>
      </w:pPr>
    </w:p>
    <w:p w:rsidR="00477B5A" w:rsidRDefault="00533F88">
      <w:pPr>
        <w:pStyle w:val="11"/>
        <w:tabs>
          <w:tab w:val="right" w:leader="dot" w:pos="8306"/>
        </w:tabs>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241D64">
        <w:rPr>
          <w:rFonts w:ascii="仿宋_GB2312" w:eastAsia="仿宋_GB2312" w:hAnsi="仿宋_GB2312" w:cs="仿宋_GB2312" w:hint="eastAsia"/>
          <w:sz w:val="32"/>
          <w:szCs w:val="32"/>
        </w:rPr>
        <w:instrText xml:space="preserve">TOC \o "1-2" \h \u </w:instrText>
      </w:r>
      <w:r>
        <w:rPr>
          <w:rFonts w:ascii="仿宋_GB2312" w:eastAsia="仿宋_GB2312" w:hAnsi="仿宋_GB2312" w:cs="仿宋_GB2312" w:hint="eastAsia"/>
          <w:sz w:val="32"/>
          <w:szCs w:val="32"/>
        </w:rPr>
        <w:fldChar w:fldCharType="separate"/>
      </w:r>
      <w:hyperlink w:anchor="_Toc16628" w:history="1">
        <w:r w:rsidR="00241D64">
          <w:rPr>
            <w:rFonts w:ascii="仿宋_GB2312" w:eastAsia="仿宋_GB2312" w:hAnsi="仿宋_GB2312" w:cs="仿宋_GB2312" w:hint="eastAsia"/>
            <w:kern w:val="0"/>
            <w:sz w:val="32"/>
            <w:szCs w:val="32"/>
          </w:rPr>
          <w:t>一、部门概况</w:t>
        </w:r>
        <w:r w:rsidR="00241D64">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sidR="00241D64">
          <w:rPr>
            <w:rFonts w:ascii="仿宋_GB2312" w:eastAsia="仿宋_GB2312" w:hAnsi="仿宋_GB2312" w:cs="仿宋_GB2312" w:hint="eastAsia"/>
            <w:sz w:val="32"/>
            <w:szCs w:val="32"/>
          </w:rPr>
          <w:instrText xml:space="preserve"> PAGEREF _Toc16628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241D64">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fldChar w:fldCharType="end"/>
        </w:r>
      </w:hyperlink>
    </w:p>
    <w:p w:rsidR="00477B5A" w:rsidRDefault="00533F88">
      <w:pPr>
        <w:pStyle w:val="2"/>
        <w:tabs>
          <w:tab w:val="right" w:leader="dot" w:pos="8306"/>
        </w:tabs>
        <w:adjustRightInd w:val="0"/>
        <w:snapToGrid w:val="0"/>
        <w:spacing w:line="360" w:lineRule="auto"/>
        <w:ind w:leftChars="0" w:left="0"/>
        <w:rPr>
          <w:rFonts w:ascii="仿宋_GB2312" w:eastAsia="仿宋_GB2312" w:hAnsi="仿宋_GB2312" w:cs="仿宋_GB2312"/>
          <w:sz w:val="32"/>
          <w:szCs w:val="32"/>
        </w:rPr>
      </w:pPr>
      <w:hyperlink w:anchor="_Toc19802" w:history="1">
        <w:r w:rsidR="00241D64">
          <w:rPr>
            <w:rFonts w:ascii="仿宋_GB2312" w:eastAsia="仿宋_GB2312" w:hAnsi="仿宋_GB2312" w:cs="仿宋_GB2312" w:hint="eastAsia"/>
            <w:sz w:val="32"/>
            <w:szCs w:val="32"/>
          </w:rPr>
          <w:t>（一）机构设置及职责工作任务情况</w:t>
        </w:r>
        <w:r w:rsidR="00241D64">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sidR="00241D64">
          <w:rPr>
            <w:rFonts w:ascii="仿宋_GB2312" w:eastAsia="仿宋_GB2312" w:hAnsi="仿宋_GB2312" w:cs="仿宋_GB2312" w:hint="eastAsia"/>
            <w:sz w:val="32"/>
            <w:szCs w:val="32"/>
          </w:rPr>
          <w:instrText xml:space="preserve"> PAGEREF _Toc19802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241D64">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fldChar w:fldCharType="end"/>
        </w:r>
      </w:hyperlink>
    </w:p>
    <w:p w:rsidR="00477B5A" w:rsidRDefault="00533F88">
      <w:pPr>
        <w:pStyle w:val="2"/>
        <w:tabs>
          <w:tab w:val="right" w:leader="dot" w:pos="8306"/>
        </w:tabs>
        <w:adjustRightInd w:val="0"/>
        <w:snapToGrid w:val="0"/>
        <w:spacing w:line="360" w:lineRule="auto"/>
        <w:ind w:leftChars="0" w:left="0"/>
        <w:rPr>
          <w:rFonts w:ascii="仿宋_GB2312" w:eastAsia="仿宋_GB2312" w:hAnsi="仿宋_GB2312" w:cs="仿宋_GB2312"/>
          <w:sz w:val="32"/>
          <w:szCs w:val="32"/>
        </w:rPr>
      </w:pPr>
      <w:hyperlink w:anchor="_Toc17393" w:history="1">
        <w:r w:rsidR="00241D64">
          <w:rPr>
            <w:rFonts w:ascii="仿宋_GB2312" w:eastAsia="仿宋_GB2312" w:hAnsi="仿宋_GB2312" w:cs="仿宋_GB2312" w:hint="eastAsia"/>
            <w:sz w:val="32"/>
            <w:szCs w:val="32"/>
          </w:rPr>
          <w:t>（二）部门整体绩效目标设立情况</w:t>
        </w:r>
        <w:r w:rsidR="00241D64">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sidR="00241D64">
          <w:rPr>
            <w:rFonts w:ascii="仿宋_GB2312" w:eastAsia="仿宋_GB2312" w:hAnsi="仿宋_GB2312" w:cs="仿宋_GB2312" w:hint="eastAsia"/>
            <w:sz w:val="32"/>
            <w:szCs w:val="32"/>
          </w:rPr>
          <w:instrText xml:space="preserve"> PAGEREF _Toc17393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241D64">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fldChar w:fldCharType="end"/>
        </w:r>
      </w:hyperlink>
    </w:p>
    <w:p w:rsidR="00477B5A" w:rsidRDefault="00533F88">
      <w:pPr>
        <w:pStyle w:val="11"/>
        <w:tabs>
          <w:tab w:val="right" w:leader="dot" w:pos="8306"/>
        </w:tabs>
        <w:adjustRightInd w:val="0"/>
        <w:snapToGrid w:val="0"/>
        <w:spacing w:line="360" w:lineRule="auto"/>
        <w:rPr>
          <w:rFonts w:ascii="仿宋_GB2312" w:eastAsia="仿宋_GB2312" w:hAnsi="仿宋_GB2312" w:cs="仿宋_GB2312"/>
          <w:sz w:val="32"/>
          <w:szCs w:val="32"/>
        </w:rPr>
      </w:pPr>
      <w:hyperlink w:anchor="_Toc130" w:history="1">
        <w:r w:rsidR="00241D64">
          <w:rPr>
            <w:rFonts w:ascii="仿宋_GB2312" w:eastAsia="仿宋_GB2312" w:hAnsi="仿宋_GB2312" w:cs="仿宋_GB2312" w:hint="eastAsia"/>
            <w:kern w:val="0"/>
            <w:sz w:val="32"/>
            <w:szCs w:val="32"/>
          </w:rPr>
          <w:t>二、当年预算执行情况</w:t>
        </w:r>
        <w:r w:rsidR="00241D64">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sidR="00241D64">
          <w:rPr>
            <w:rFonts w:ascii="仿宋_GB2312" w:eastAsia="仿宋_GB2312" w:hAnsi="仿宋_GB2312" w:cs="仿宋_GB2312" w:hint="eastAsia"/>
            <w:sz w:val="32"/>
            <w:szCs w:val="32"/>
          </w:rPr>
          <w:instrText xml:space="preserve"> PAGEREF _Toc130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241D64">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fldChar w:fldCharType="end"/>
        </w:r>
      </w:hyperlink>
    </w:p>
    <w:p w:rsidR="00477B5A" w:rsidRDefault="00533F88">
      <w:pPr>
        <w:pStyle w:val="11"/>
        <w:tabs>
          <w:tab w:val="right" w:leader="dot" w:pos="8306"/>
        </w:tabs>
        <w:adjustRightInd w:val="0"/>
        <w:snapToGrid w:val="0"/>
        <w:spacing w:line="360" w:lineRule="auto"/>
        <w:rPr>
          <w:rFonts w:ascii="仿宋_GB2312" w:eastAsia="仿宋_GB2312" w:hAnsi="仿宋_GB2312" w:cs="仿宋_GB2312"/>
          <w:sz w:val="32"/>
          <w:szCs w:val="32"/>
        </w:rPr>
      </w:pPr>
      <w:hyperlink w:anchor="_Toc20163" w:history="1">
        <w:r w:rsidR="00241D64">
          <w:rPr>
            <w:rFonts w:ascii="仿宋_GB2312" w:eastAsia="仿宋_GB2312" w:hAnsi="仿宋_GB2312" w:cs="仿宋_GB2312" w:hint="eastAsia"/>
            <w:kern w:val="0"/>
            <w:sz w:val="32"/>
            <w:szCs w:val="32"/>
          </w:rPr>
          <w:t>三、整体绩效目标实现情况</w:t>
        </w:r>
        <w:r w:rsidR="00241D64">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sidR="00241D64">
          <w:rPr>
            <w:rFonts w:ascii="仿宋_GB2312" w:eastAsia="仿宋_GB2312" w:hAnsi="仿宋_GB2312" w:cs="仿宋_GB2312" w:hint="eastAsia"/>
            <w:sz w:val="32"/>
            <w:szCs w:val="32"/>
          </w:rPr>
          <w:instrText xml:space="preserve"> PAGEREF _Toc20163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241D64">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fldChar w:fldCharType="end"/>
        </w:r>
      </w:hyperlink>
    </w:p>
    <w:p w:rsidR="00477B5A" w:rsidRDefault="00533F88">
      <w:pPr>
        <w:pStyle w:val="2"/>
        <w:tabs>
          <w:tab w:val="right" w:leader="dot" w:pos="8306"/>
        </w:tabs>
        <w:adjustRightInd w:val="0"/>
        <w:snapToGrid w:val="0"/>
        <w:spacing w:line="360" w:lineRule="auto"/>
        <w:ind w:leftChars="0" w:left="0"/>
        <w:rPr>
          <w:rFonts w:ascii="仿宋_GB2312" w:eastAsia="仿宋_GB2312" w:hAnsi="仿宋_GB2312" w:cs="仿宋_GB2312"/>
          <w:sz w:val="32"/>
          <w:szCs w:val="32"/>
        </w:rPr>
      </w:pPr>
      <w:hyperlink w:anchor="_Toc26967" w:history="1">
        <w:r w:rsidR="00241D64">
          <w:rPr>
            <w:rFonts w:ascii="仿宋_GB2312" w:eastAsia="仿宋_GB2312" w:hAnsi="仿宋_GB2312" w:cs="仿宋_GB2312" w:hint="eastAsia"/>
            <w:sz w:val="32"/>
            <w:szCs w:val="32"/>
          </w:rPr>
          <w:t>（一）产出完成情况分析</w:t>
        </w:r>
        <w:r w:rsidR="00241D64">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sidR="00241D64">
          <w:rPr>
            <w:rFonts w:ascii="仿宋_GB2312" w:eastAsia="仿宋_GB2312" w:hAnsi="仿宋_GB2312" w:cs="仿宋_GB2312" w:hint="eastAsia"/>
            <w:sz w:val="32"/>
            <w:szCs w:val="32"/>
          </w:rPr>
          <w:instrText xml:space="preserve"> PAGEREF _Toc26967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241D64">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fldChar w:fldCharType="end"/>
        </w:r>
      </w:hyperlink>
    </w:p>
    <w:p w:rsidR="00477B5A" w:rsidRDefault="00533F88">
      <w:pPr>
        <w:pStyle w:val="2"/>
        <w:tabs>
          <w:tab w:val="right" w:leader="dot" w:pos="8306"/>
        </w:tabs>
        <w:adjustRightInd w:val="0"/>
        <w:snapToGrid w:val="0"/>
        <w:spacing w:line="360" w:lineRule="auto"/>
        <w:ind w:leftChars="0" w:left="0"/>
        <w:rPr>
          <w:rFonts w:ascii="仿宋_GB2312" w:eastAsia="仿宋_GB2312" w:hAnsi="仿宋_GB2312" w:cs="仿宋_GB2312"/>
          <w:sz w:val="32"/>
          <w:szCs w:val="32"/>
        </w:rPr>
      </w:pPr>
      <w:hyperlink w:anchor="_Toc5633" w:history="1">
        <w:r w:rsidR="00241D64">
          <w:rPr>
            <w:rFonts w:ascii="仿宋_GB2312" w:eastAsia="仿宋_GB2312" w:hAnsi="仿宋_GB2312" w:cs="仿宋_GB2312" w:hint="eastAsia"/>
            <w:sz w:val="32"/>
            <w:szCs w:val="32"/>
          </w:rPr>
          <w:t>（二）效果实现情况分析</w:t>
        </w:r>
        <w:r w:rsidR="00241D64">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sidR="00241D64">
          <w:rPr>
            <w:rFonts w:ascii="仿宋_GB2312" w:eastAsia="仿宋_GB2312" w:hAnsi="仿宋_GB2312" w:cs="仿宋_GB2312" w:hint="eastAsia"/>
            <w:sz w:val="32"/>
            <w:szCs w:val="32"/>
          </w:rPr>
          <w:instrText xml:space="preserve"> PAGEREF _Toc5633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241D64">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fldChar w:fldCharType="end"/>
        </w:r>
      </w:hyperlink>
    </w:p>
    <w:p w:rsidR="00477B5A" w:rsidRDefault="00533F88">
      <w:pPr>
        <w:pStyle w:val="11"/>
        <w:tabs>
          <w:tab w:val="right" w:leader="dot" w:pos="8306"/>
        </w:tabs>
        <w:adjustRightInd w:val="0"/>
        <w:snapToGrid w:val="0"/>
        <w:spacing w:line="360" w:lineRule="auto"/>
        <w:rPr>
          <w:rFonts w:ascii="仿宋_GB2312" w:eastAsia="仿宋_GB2312" w:hAnsi="仿宋_GB2312" w:cs="仿宋_GB2312"/>
          <w:sz w:val="32"/>
          <w:szCs w:val="32"/>
        </w:rPr>
      </w:pPr>
      <w:hyperlink w:anchor="_Toc13694" w:history="1">
        <w:r w:rsidR="00241D64">
          <w:rPr>
            <w:rFonts w:ascii="仿宋_GB2312" w:eastAsia="仿宋_GB2312" w:hAnsi="仿宋_GB2312" w:cs="仿宋_GB2312" w:hint="eastAsia"/>
            <w:kern w:val="0"/>
            <w:sz w:val="32"/>
            <w:szCs w:val="32"/>
          </w:rPr>
          <w:t>四、预算管理情况分析</w:t>
        </w:r>
        <w:r w:rsidR="00241D64">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sidR="00241D64">
          <w:rPr>
            <w:rFonts w:ascii="仿宋_GB2312" w:eastAsia="仿宋_GB2312" w:hAnsi="仿宋_GB2312" w:cs="仿宋_GB2312" w:hint="eastAsia"/>
            <w:sz w:val="32"/>
            <w:szCs w:val="32"/>
          </w:rPr>
          <w:instrText xml:space="preserve"> PAGEREF _Toc13694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241D64">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fldChar w:fldCharType="end"/>
        </w:r>
      </w:hyperlink>
    </w:p>
    <w:p w:rsidR="00477B5A" w:rsidRDefault="00533F88">
      <w:pPr>
        <w:pStyle w:val="2"/>
        <w:tabs>
          <w:tab w:val="right" w:leader="dot" w:pos="8306"/>
        </w:tabs>
        <w:adjustRightInd w:val="0"/>
        <w:snapToGrid w:val="0"/>
        <w:spacing w:line="360" w:lineRule="auto"/>
        <w:ind w:leftChars="0" w:left="0"/>
        <w:rPr>
          <w:rFonts w:ascii="仿宋_GB2312" w:eastAsia="仿宋_GB2312" w:hAnsi="仿宋_GB2312" w:cs="仿宋_GB2312"/>
          <w:sz w:val="32"/>
          <w:szCs w:val="32"/>
        </w:rPr>
      </w:pPr>
      <w:hyperlink w:anchor="_Toc22151" w:history="1">
        <w:r w:rsidR="00241D64">
          <w:rPr>
            <w:rFonts w:ascii="仿宋_GB2312" w:eastAsia="仿宋_GB2312" w:hAnsi="仿宋_GB2312" w:cs="仿宋_GB2312" w:hint="eastAsia"/>
            <w:sz w:val="32"/>
            <w:szCs w:val="32"/>
          </w:rPr>
          <w:t>（一）财务管理</w:t>
        </w:r>
        <w:r w:rsidR="00241D64">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sidR="00241D64">
          <w:rPr>
            <w:rFonts w:ascii="仿宋_GB2312" w:eastAsia="仿宋_GB2312" w:hAnsi="仿宋_GB2312" w:cs="仿宋_GB2312" w:hint="eastAsia"/>
            <w:sz w:val="32"/>
            <w:szCs w:val="32"/>
          </w:rPr>
          <w:instrText xml:space="preserve"> PAGEREF _Toc22151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241D64">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fldChar w:fldCharType="end"/>
        </w:r>
      </w:hyperlink>
    </w:p>
    <w:p w:rsidR="00477B5A" w:rsidRDefault="00533F88">
      <w:pPr>
        <w:pStyle w:val="2"/>
        <w:tabs>
          <w:tab w:val="right" w:leader="dot" w:pos="8306"/>
        </w:tabs>
        <w:adjustRightInd w:val="0"/>
        <w:snapToGrid w:val="0"/>
        <w:spacing w:line="360" w:lineRule="auto"/>
        <w:ind w:leftChars="0" w:left="0"/>
        <w:rPr>
          <w:rFonts w:ascii="仿宋_GB2312" w:eastAsia="仿宋_GB2312" w:hAnsi="仿宋_GB2312" w:cs="仿宋_GB2312"/>
          <w:sz w:val="32"/>
          <w:szCs w:val="32"/>
        </w:rPr>
      </w:pPr>
      <w:hyperlink w:anchor="_Toc25888" w:history="1">
        <w:r w:rsidR="00241D64">
          <w:rPr>
            <w:rFonts w:ascii="仿宋_GB2312" w:eastAsia="仿宋_GB2312" w:hAnsi="仿宋_GB2312" w:cs="仿宋_GB2312" w:hint="eastAsia"/>
            <w:sz w:val="32"/>
            <w:szCs w:val="32"/>
          </w:rPr>
          <w:t>（二）资产管理</w:t>
        </w:r>
        <w:r w:rsidR="00241D64">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sidR="00241D64">
          <w:rPr>
            <w:rFonts w:ascii="仿宋_GB2312" w:eastAsia="仿宋_GB2312" w:hAnsi="仿宋_GB2312" w:cs="仿宋_GB2312" w:hint="eastAsia"/>
            <w:sz w:val="32"/>
            <w:szCs w:val="32"/>
          </w:rPr>
          <w:instrText xml:space="preserve"> PAGEREF _Toc25888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241D64">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fldChar w:fldCharType="end"/>
        </w:r>
      </w:hyperlink>
    </w:p>
    <w:p w:rsidR="00477B5A" w:rsidRDefault="00533F88">
      <w:pPr>
        <w:pStyle w:val="2"/>
        <w:tabs>
          <w:tab w:val="right" w:leader="dot" w:pos="8306"/>
        </w:tabs>
        <w:adjustRightInd w:val="0"/>
        <w:snapToGrid w:val="0"/>
        <w:spacing w:line="360" w:lineRule="auto"/>
        <w:ind w:leftChars="0" w:left="0"/>
        <w:rPr>
          <w:rFonts w:ascii="仿宋_GB2312" w:eastAsia="仿宋_GB2312" w:hAnsi="仿宋_GB2312" w:cs="仿宋_GB2312"/>
          <w:sz w:val="32"/>
          <w:szCs w:val="32"/>
        </w:rPr>
      </w:pPr>
      <w:hyperlink w:anchor="_Toc21414" w:history="1">
        <w:r w:rsidR="00241D64">
          <w:rPr>
            <w:rFonts w:ascii="仿宋_GB2312" w:eastAsia="仿宋_GB2312" w:hAnsi="仿宋_GB2312" w:cs="仿宋_GB2312" w:hint="eastAsia"/>
            <w:sz w:val="32"/>
            <w:szCs w:val="32"/>
          </w:rPr>
          <w:t>（三）绩效管理</w:t>
        </w:r>
        <w:r w:rsidR="00241D64">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sidR="00241D64">
          <w:rPr>
            <w:rFonts w:ascii="仿宋_GB2312" w:eastAsia="仿宋_GB2312" w:hAnsi="仿宋_GB2312" w:cs="仿宋_GB2312" w:hint="eastAsia"/>
            <w:sz w:val="32"/>
            <w:szCs w:val="32"/>
          </w:rPr>
          <w:instrText xml:space="preserve"> PAGEREF _Toc21414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241D64">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fldChar w:fldCharType="end"/>
        </w:r>
      </w:hyperlink>
    </w:p>
    <w:p w:rsidR="00477B5A" w:rsidRDefault="00533F88">
      <w:pPr>
        <w:pStyle w:val="2"/>
        <w:tabs>
          <w:tab w:val="right" w:leader="dot" w:pos="8306"/>
        </w:tabs>
        <w:adjustRightInd w:val="0"/>
        <w:snapToGrid w:val="0"/>
        <w:spacing w:line="360" w:lineRule="auto"/>
        <w:ind w:leftChars="0" w:left="0"/>
        <w:rPr>
          <w:rFonts w:ascii="仿宋_GB2312" w:eastAsia="仿宋_GB2312" w:hAnsi="仿宋_GB2312" w:cs="仿宋_GB2312"/>
          <w:sz w:val="32"/>
          <w:szCs w:val="32"/>
        </w:rPr>
      </w:pPr>
      <w:hyperlink w:anchor="_Toc10964" w:history="1">
        <w:r w:rsidR="00241D64">
          <w:rPr>
            <w:rFonts w:ascii="仿宋_GB2312" w:eastAsia="仿宋_GB2312" w:hAnsi="仿宋_GB2312" w:cs="仿宋_GB2312" w:hint="eastAsia"/>
            <w:sz w:val="32"/>
            <w:szCs w:val="32"/>
          </w:rPr>
          <w:t>（四）结转结余率</w:t>
        </w:r>
        <w:r w:rsidR="00241D64">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sidR="00241D64">
          <w:rPr>
            <w:rFonts w:ascii="仿宋_GB2312" w:eastAsia="仿宋_GB2312" w:hAnsi="仿宋_GB2312" w:cs="仿宋_GB2312" w:hint="eastAsia"/>
            <w:sz w:val="32"/>
            <w:szCs w:val="32"/>
          </w:rPr>
          <w:instrText xml:space="preserve"> PAGEREF _Toc10964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241D64">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fldChar w:fldCharType="end"/>
        </w:r>
      </w:hyperlink>
    </w:p>
    <w:p w:rsidR="00477B5A" w:rsidRDefault="00533F88">
      <w:pPr>
        <w:pStyle w:val="2"/>
        <w:tabs>
          <w:tab w:val="right" w:leader="dot" w:pos="8306"/>
        </w:tabs>
        <w:adjustRightInd w:val="0"/>
        <w:snapToGrid w:val="0"/>
        <w:spacing w:line="360" w:lineRule="auto"/>
        <w:ind w:leftChars="0" w:left="0"/>
        <w:rPr>
          <w:rFonts w:ascii="仿宋_GB2312" w:eastAsia="仿宋_GB2312" w:hAnsi="仿宋_GB2312" w:cs="仿宋_GB2312"/>
          <w:sz w:val="32"/>
          <w:szCs w:val="32"/>
        </w:rPr>
      </w:pPr>
      <w:hyperlink w:anchor="_Toc10239" w:history="1">
        <w:r w:rsidR="00241D64">
          <w:rPr>
            <w:rFonts w:ascii="仿宋_GB2312" w:eastAsia="仿宋_GB2312" w:hAnsi="仿宋_GB2312" w:cs="仿宋_GB2312" w:hint="eastAsia"/>
            <w:sz w:val="32"/>
            <w:szCs w:val="32"/>
          </w:rPr>
          <w:t>（五）部门预决算差异率</w:t>
        </w:r>
        <w:r w:rsidR="00241D64">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sidR="00241D64">
          <w:rPr>
            <w:rFonts w:ascii="仿宋_GB2312" w:eastAsia="仿宋_GB2312" w:hAnsi="仿宋_GB2312" w:cs="仿宋_GB2312" w:hint="eastAsia"/>
            <w:sz w:val="32"/>
            <w:szCs w:val="32"/>
          </w:rPr>
          <w:instrText xml:space="preserve"> PAGEREF _Toc10239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241D64">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fldChar w:fldCharType="end"/>
        </w:r>
      </w:hyperlink>
    </w:p>
    <w:p w:rsidR="00477B5A" w:rsidRDefault="00533F88">
      <w:pPr>
        <w:pStyle w:val="11"/>
        <w:tabs>
          <w:tab w:val="right" w:leader="dot" w:pos="8306"/>
        </w:tabs>
        <w:adjustRightInd w:val="0"/>
        <w:snapToGrid w:val="0"/>
        <w:spacing w:line="360" w:lineRule="auto"/>
        <w:rPr>
          <w:rFonts w:ascii="仿宋_GB2312" w:eastAsia="仿宋_GB2312" w:hAnsi="仿宋_GB2312" w:cs="仿宋_GB2312"/>
          <w:sz w:val="32"/>
          <w:szCs w:val="32"/>
        </w:rPr>
      </w:pPr>
      <w:hyperlink w:anchor="_Toc10123" w:history="1">
        <w:r w:rsidR="00241D64">
          <w:rPr>
            <w:rFonts w:ascii="仿宋_GB2312" w:eastAsia="仿宋_GB2312" w:hAnsi="仿宋_GB2312" w:cs="仿宋_GB2312" w:hint="eastAsia"/>
            <w:sz w:val="32"/>
            <w:szCs w:val="32"/>
          </w:rPr>
          <w:t>五、总体评价结论</w:t>
        </w:r>
        <w:r w:rsidR="00241D64">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sidR="00241D64">
          <w:rPr>
            <w:rFonts w:ascii="仿宋_GB2312" w:eastAsia="仿宋_GB2312" w:hAnsi="仿宋_GB2312" w:cs="仿宋_GB2312" w:hint="eastAsia"/>
            <w:sz w:val="32"/>
            <w:szCs w:val="32"/>
          </w:rPr>
          <w:instrText xml:space="preserve"> PAGEREF _Toc10123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241D64">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fldChar w:fldCharType="end"/>
        </w:r>
      </w:hyperlink>
    </w:p>
    <w:p w:rsidR="00477B5A" w:rsidRDefault="00533F88">
      <w:pPr>
        <w:pStyle w:val="2"/>
        <w:tabs>
          <w:tab w:val="right" w:leader="dot" w:pos="8306"/>
        </w:tabs>
        <w:adjustRightInd w:val="0"/>
        <w:snapToGrid w:val="0"/>
        <w:spacing w:line="360" w:lineRule="auto"/>
        <w:ind w:leftChars="0" w:left="0"/>
        <w:rPr>
          <w:rFonts w:ascii="仿宋_GB2312" w:eastAsia="仿宋_GB2312" w:hAnsi="仿宋_GB2312" w:cs="仿宋_GB2312"/>
          <w:sz w:val="32"/>
          <w:szCs w:val="32"/>
        </w:rPr>
      </w:pPr>
      <w:hyperlink w:anchor="_Toc1582" w:history="1">
        <w:r w:rsidR="00241D64">
          <w:rPr>
            <w:rFonts w:ascii="仿宋_GB2312" w:eastAsia="仿宋_GB2312" w:hAnsi="仿宋_GB2312" w:cs="仿宋_GB2312" w:hint="eastAsia"/>
            <w:sz w:val="32"/>
            <w:szCs w:val="32"/>
          </w:rPr>
          <w:t>（一）评价得分情况</w:t>
        </w:r>
        <w:r w:rsidR="00241D64">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sidR="00241D64">
          <w:rPr>
            <w:rFonts w:ascii="仿宋_GB2312" w:eastAsia="仿宋_GB2312" w:hAnsi="仿宋_GB2312" w:cs="仿宋_GB2312" w:hint="eastAsia"/>
            <w:sz w:val="32"/>
            <w:szCs w:val="32"/>
          </w:rPr>
          <w:instrText xml:space="preserve"> PAGEREF _Toc1582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241D64">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fldChar w:fldCharType="end"/>
        </w:r>
      </w:hyperlink>
    </w:p>
    <w:p w:rsidR="00477B5A" w:rsidRDefault="00533F88">
      <w:pPr>
        <w:pStyle w:val="2"/>
        <w:tabs>
          <w:tab w:val="right" w:leader="dot" w:pos="8306"/>
        </w:tabs>
        <w:adjustRightInd w:val="0"/>
        <w:snapToGrid w:val="0"/>
        <w:spacing w:line="360" w:lineRule="auto"/>
        <w:ind w:leftChars="0" w:left="0"/>
        <w:rPr>
          <w:rFonts w:ascii="仿宋_GB2312" w:eastAsia="仿宋_GB2312" w:hAnsi="仿宋_GB2312" w:cs="仿宋_GB2312"/>
          <w:sz w:val="32"/>
          <w:szCs w:val="32"/>
        </w:rPr>
      </w:pPr>
      <w:hyperlink w:anchor="_Toc19234" w:history="1">
        <w:r w:rsidR="00241D64">
          <w:rPr>
            <w:rFonts w:ascii="仿宋_GB2312" w:eastAsia="仿宋_GB2312" w:hAnsi="仿宋_GB2312" w:cs="仿宋_GB2312" w:hint="eastAsia"/>
            <w:sz w:val="32"/>
            <w:szCs w:val="32"/>
          </w:rPr>
          <w:t>（二） 存在的问题及原因分析</w:t>
        </w:r>
        <w:r w:rsidR="00241D64">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sidR="00241D64">
          <w:rPr>
            <w:rFonts w:ascii="仿宋_GB2312" w:eastAsia="仿宋_GB2312" w:hAnsi="仿宋_GB2312" w:cs="仿宋_GB2312" w:hint="eastAsia"/>
            <w:sz w:val="32"/>
            <w:szCs w:val="32"/>
          </w:rPr>
          <w:instrText xml:space="preserve"> PAGEREF _Toc19234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241D64">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fldChar w:fldCharType="end"/>
        </w:r>
      </w:hyperlink>
    </w:p>
    <w:p w:rsidR="00477B5A" w:rsidRDefault="00533F88">
      <w:pPr>
        <w:pStyle w:val="11"/>
        <w:tabs>
          <w:tab w:val="right" w:leader="dot" w:pos="8306"/>
        </w:tabs>
        <w:adjustRightInd w:val="0"/>
        <w:snapToGrid w:val="0"/>
        <w:spacing w:line="360" w:lineRule="auto"/>
        <w:rPr>
          <w:rFonts w:ascii="仿宋_GB2312" w:eastAsia="仿宋_GB2312" w:hAnsi="仿宋_GB2312" w:cs="仿宋_GB2312"/>
          <w:sz w:val="32"/>
          <w:szCs w:val="32"/>
        </w:rPr>
      </w:pPr>
      <w:hyperlink w:anchor="_Toc12190" w:history="1">
        <w:r w:rsidR="00241D64">
          <w:rPr>
            <w:rFonts w:ascii="仿宋_GB2312" w:eastAsia="仿宋_GB2312" w:hAnsi="仿宋_GB2312" w:cs="仿宋_GB2312" w:hint="eastAsia"/>
            <w:kern w:val="0"/>
            <w:sz w:val="32"/>
            <w:szCs w:val="32"/>
          </w:rPr>
          <w:t>六、措施建议</w:t>
        </w:r>
        <w:r w:rsidR="00241D64">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sidR="00241D64">
          <w:rPr>
            <w:rFonts w:ascii="仿宋_GB2312" w:eastAsia="仿宋_GB2312" w:hAnsi="仿宋_GB2312" w:cs="仿宋_GB2312" w:hint="eastAsia"/>
            <w:sz w:val="32"/>
            <w:szCs w:val="32"/>
          </w:rPr>
          <w:instrText xml:space="preserve"> PAGEREF _Toc12190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241D64">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fldChar w:fldCharType="end"/>
        </w:r>
      </w:hyperlink>
    </w:p>
    <w:p w:rsidR="00477B5A" w:rsidRDefault="00533F88">
      <w:pPr>
        <w:pStyle w:val="2"/>
        <w:tabs>
          <w:tab w:val="right" w:leader="dot" w:pos="8306"/>
        </w:tabs>
        <w:adjustRightInd w:val="0"/>
        <w:snapToGrid w:val="0"/>
        <w:spacing w:line="360" w:lineRule="auto"/>
        <w:ind w:leftChars="0" w:left="0"/>
        <w:rPr>
          <w:rFonts w:ascii="仿宋_GB2312" w:eastAsia="仿宋_GB2312" w:hAnsi="仿宋_GB2312" w:cs="仿宋_GB2312"/>
          <w:sz w:val="32"/>
          <w:szCs w:val="32"/>
        </w:rPr>
      </w:pPr>
      <w:hyperlink w:anchor="_Toc9805" w:history="1">
        <w:r w:rsidR="00241D64">
          <w:rPr>
            <w:rFonts w:ascii="仿宋_GB2312" w:eastAsia="仿宋_GB2312" w:hAnsi="仿宋_GB2312" w:cs="仿宋_GB2312" w:hint="eastAsia"/>
            <w:sz w:val="32"/>
            <w:szCs w:val="32"/>
          </w:rPr>
          <w:t>（一）及时做好纠偏措施，确保部门履职绩效顺利达成</w:t>
        </w:r>
        <w:r w:rsidR="00241D64">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sidR="00241D64">
          <w:rPr>
            <w:rFonts w:ascii="仿宋_GB2312" w:eastAsia="仿宋_GB2312" w:hAnsi="仿宋_GB2312" w:cs="仿宋_GB2312" w:hint="eastAsia"/>
            <w:sz w:val="32"/>
            <w:szCs w:val="32"/>
          </w:rPr>
          <w:instrText xml:space="preserve"> PAGEREF _Toc9805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241D64">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fldChar w:fldCharType="end"/>
        </w:r>
      </w:hyperlink>
    </w:p>
    <w:p w:rsidR="00477B5A" w:rsidRDefault="00533F88">
      <w:pPr>
        <w:pStyle w:val="2"/>
        <w:tabs>
          <w:tab w:val="right" w:leader="dot" w:pos="8306"/>
        </w:tabs>
        <w:adjustRightInd w:val="0"/>
        <w:snapToGrid w:val="0"/>
        <w:spacing w:line="360" w:lineRule="auto"/>
        <w:ind w:leftChars="0" w:left="0"/>
        <w:rPr>
          <w:rFonts w:ascii="仿宋_GB2312" w:eastAsia="仿宋_GB2312" w:hAnsi="仿宋_GB2312" w:cs="仿宋_GB2312"/>
          <w:sz w:val="32"/>
          <w:szCs w:val="32"/>
        </w:rPr>
      </w:pPr>
      <w:hyperlink w:anchor="_Toc23370" w:history="1">
        <w:r w:rsidR="00241D64">
          <w:rPr>
            <w:rFonts w:ascii="仿宋_GB2312" w:eastAsia="仿宋_GB2312" w:hAnsi="仿宋_GB2312" w:cs="仿宋_GB2312" w:hint="eastAsia"/>
            <w:sz w:val="32"/>
            <w:szCs w:val="32"/>
          </w:rPr>
          <w:t>（二）合理编制预算，加强合同管理</w:t>
        </w:r>
        <w:r w:rsidR="00241D64">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sidR="00241D64">
          <w:rPr>
            <w:rFonts w:ascii="仿宋_GB2312" w:eastAsia="仿宋_GB2312" w:hAnsi="仿宋_GB2312" w:cs="仿宋_GB2312" w:hint="eastAsia"/>
            <w:sz w:val="32"/>
            <w:szCs w:val="32"/>
          </w:rPr>
          <w:instrText xml:space="preserve"> PAGEREF _Toc23370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241D64">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fldChar w:fldCharType="end"/>
        </w:r>
      </w:hyperlink>
    </w:p>
    <w:p w:rsidR="00477B5A" w:rsidRDefault="00533F88">
      <w:pPr>
        <w:pStyle w:val="2"/>
        <w:tabs>
          <w:tab w:val="right" w:leader="dot" w:pos="8306"/>
        </w:tabs>
        <w:adjustRightInd w:val="0"/>
        <w:snapToGrid w:val="0"/>
        <w:spacing w:line="360" w:lineRule="auto"/>
        <w:ind w:leftChars="0" w:left="0"/>
        <w:rPr>
          <w:rFonts w:ascii="仿宋_GB2312" w:eastAsia="仿宋_GB2312" w:hAnsi="仿宋_GB2312" w:cs="仿宋_GB2312"/>
          <w:sz w:val="32"/>
          <w:szCs w:val="32"/>
        </w:rPr>
      </w:pPr>
      <w:hyperlink w:anchor="_Toc8426" w:history="1">
        <w:r w:rsidR="00241D64">
          <w:rPr>
            <w:rFonts w:ascii="仿宋_GB2312" w:eastAsia="仿宋_GB2312" w:hAnsi="仿宋_GB2312" w:cs="仿宋_GB2312" w:hint="eastAsia"/>
            <w:sz w:val="32"/>
            <w:szCs w:val="32"/>
          </w:rPr>
          <w:t>（三）完善绩效目标及指标设置，科学合理设置绩效目标</w:t>
        </w:r>
        <w:r w:rsidR="00241D64">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sidR="00241D64">
          <w:rPr>
            <w:rFonts w:ascii="仿宋_GB2312" w:eastAsia="仿宋_GB2312" w:hAnsi="仿宋_GB2312" w:cs="仿宋_GB2312" w:hint="eastAsia"/>
            <w:sz w:val="32"/>
            <w:szCs w:val="32"/>
          </w:rPr>
          <w:instrText xml:space="preserve"> PAGEREF _Toc8426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241D64">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fldChar w:fldCharType="end"/>
        </w:r>
      </w:hyperlink>
    </w:p>
    <w:p w:rsidR="00477B5A" w:rsidRDefault="00533F88">
      <w:pPr>
        <w:pStyle w:val="11"/>
        <w:tabs>
          <w:tab w:val="right" w:leader="dot" w:pos="8306"/>
        </w:tabs>
        <w:adjustRightInd w:val="0"/>
        <w:snapToGrid w:val="0"/>
        <w:spacing w:line="360" w:lineRule="auto"/>
        <w:rPr>
          <w:rFonts w:ascii="仿宋_GB2312" w:eastAsia="仿宋_GB2312" w:hAnsi="仿宋_GB2312" w:cs="仿宋_GB2312"/>
          <w:sz w:val="32"/>
          <w:szCs w:val="32"/>
        </w:rPr>
      </w:pPr>
      <w:hyperlink w:anchor="_Toc21298" w:history="1">
        <w:r w:rsidR="00241D64">
          <w:rPr>
            <w:rFonts w:ascii="仿宋_GB2312" w:eastAsia="仿宋_GB2312" w:hAnsi="仿宋_GB2312" w:cs="仿宋_GB2312" w:hint="eastAsia"/>
            <w:sz w:val="32"/>
            <w:szCs w:val="32"/>
          </w:rPr>
          <w:t>七、附件</w:t>
        </w:r>
        <w:r w:rsidR="00241D64">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sidR="00241D64">
          <w:rPr>
            <w:rFonts w:ascii="仿宋_GB2312" w:eastAsia="仿宋_GB2312" w:hAnsi="仿宋_GB2312" w:cs="仿宋_GB2312" w:hint="eastAsia"/>
            <w:sz w:val="32"/>
            <w:szCs w:val="32"/>
          </w:rPr>
          <w:instrText xml:space="preserve"> PAGEREF _Toc21298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sidR="00241D64">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fldChar w:fldCharType="end"/>
        </w:r>
      </w:hyperlink>
    </w:p>
    <w:p w:rsidR="00477B5A" w:rsidRDefault="00533F88">
      <w:pPr>
        <w:adjustRightInd w:val="0"/>
        <w:snapToGrid w:val="0"/>
        <w:spacing w:line="360" w:lineRule="auto"/>
        <w:rPr>
          <w:rFonts w:eastAsia="华文中宋"/>
          <w:bCs/>
          <w:sz w:val="36"/>
          <w:szCs w:val="44"/>
        </w:rPr>
        <w:sectPr w:rsidR="00477B5A">
          <w:pgSz w:w="11906" w:h="16838"/>
          <w:pgMar w:top="1440" w:right="1800" w:bottom="1440" w:left="1800" w:header="851" w:footer="992" w:gutter="0"/>
          <w:pgNumType w:fmt="numberInDash"/>
          <w:cols w:space="425"/>
          <w:docGrid w:type="lines" w:linePitch="312"/>
        </w:sectPr>
      </w:pPr>
      <w:r>
        <w:rPr>
          <w:rFonts w:ascii="仿宋_GB2312" w:eastAsia="仿宋_GB2312" w:hAnsi="仿宋_GB2312" w:cs="仿宋_GB2312" w:hint="eastAsia"/>
          <w:sz w:val="32"/>
          <w:szCs w:val="32"/>
        </w:rPr>
        <w:fldChar w:fldCharType="end"/>
      </w:r>
    </w:p>
    <w:p w:rsidR="00477B5A" w:rsidRDefault="00241D64">
      <w:pPr>
        <w:adjustRightInd w:val="0"/>
        <w:snapToGrid w:val="0"/>
        <w:spacing w:line="360" w:lineRule="auto"/>
        <w:jc w:val="center"/>
        <w:rPr>
          <w:rFonts w:eastAsia="华文中宋"/>
          <w:bCs/>
          <w:sz w:val="36"/>
          <w:szCs w:val="44"/>
        </w:rPr>
      </w:pPr>
      <w:r>
        <w:rPr>
          <w:rFonts w:eastAsia="华文中宋"/>
          <w:bCs/>
          <w:sz w:val="36"/>
          <w:szCs w:val="44"/>
        </w:rPr>
        <w:lastRenderedPageBreak/>
        <w:t>北京</w:t>
      </w:r>
      <w:r>
        <w:rPr>
          <w:rFonts w:eastAsia="华文中宋" w:hint="eastAsia"/>
          <w:bCs/>
          <w:sz w:val="36"/>
          <w:szCs w:val="44"/>
        </w:rPr>
        <w:t>社会主义学院</w:t>
      </w:r>
    </w:p>
    <w:p w:rsidR="00477B5A" w:rsidRDefault="00241D64">
      <w:pPr>
        <w:adjustRightInd w:val="0"/>
        <w:snapToGrid w:val="0"/>
        <w:spacing w:line="360" w:lineRule="auto"/>
        <w:jc w:val="center"/>
        <w:rPr>
          <w:rFonts w:eastAsia="华文中宋"/>
          <w:bCs/>
          <w:sz w:val="36"/>
          <w:szCs w:val="44"/>
        </w:rPr>
      </w:pPr>
      <w:r>
        <w:rPr>
          <w:rFonts w:eastAsia="华文中宋"/>
          <w:bCs/>
          <w:sz w:val="36"/>
          <w:szCs w:val="44"/>
        </w:rPr>
        <w:t>202</w:t>
      </w:r>
      <w:r>
        <w:rPr>
          <w:rFonts w:eastAsia="华文中宋" w:hint="eastAsia"/>
          <w:bCs/>
          <w:sz w:val="36"/>
          <w:szCs w:val="44"/>
        </w:rPr>
        <w:t>2</w:t>
      </w:r>
      <w:r>
        <w:rPr>
          <w:rFonts w:eastAsia="华文中宋" w:hint="eastAsia"/>
          <w:bCs/>
          <w:sz w:val="36"/>
          <w:szCs w:val="44"/>
        </w:rPr>
        <w:t>年度</w:t>
      </w:r>
      <w:r>
        <w:rPr>
          <w:rFonts w:eastAsia="华文中宋"/>
          <w:bCs/>
          <w:sz w:val="36"/>
          <w:szCs w:val="44"/>
        </w:rPr>
        <w:t>部门整体绩效</w:t>
      </w:r>
      <w:r>
        <w:rPr>
          <w:rFonts w:eastAsia="华文中宋" w:hint="eastAsia"/>
          <w:bCs/>
          <w:sz w:val="36"/>
          <w:szCs w:val="44"/>
        </w:rPr>
        <w:t>评价</w:t>
      </w:r>
      <w:r>
        <w:rPr>
          <w:rFonts w:eastAsia="华文中宋"/>
          <w:bCs/>
          <w:sz w:val="36"/>
          <w:szCs w:val="44"/>
        </w:rPr>
        <w:t>报告</w:t>
      </w:r>
    </w:p>
    <w:p w:rsidR="00477B5A" w:rsidRDefault="00477B5A">
      <w:pPr>
        <w:jc w:val="center"/>
        <w:rPr>
          <w:szCs w:val="30"/>
        </w:rPr>
      </w:pPr>
    </w:p>
    <w:p w:rsidR="00477B5A" w:rsidRDefault="00241D64">
      <w:pPr>
        <w:adjustRightInd w:val="0"/>
        <w:snapToGrid w:val="0"/>
        <w:spacing w:line="360" w:lineRule="auto"/>
        <w:ind w:firstLineChars="200" w:firstLine="640"/>
        <w:outlineLvl w:val="0"/>
        <w:rPr>
          <w:rFonts w:eastAsia="黑体"/>
          <w:color w:val="000000"/>
          <w:kern w:val="0"/>
          <w:sz w:val="32"/>
          <w:szCs w:val="32"/>
        </w:rPr>
      </w:pPr>
      <w:bookmarkStart w:id="0" w:name="_Toc16628"/>
      <w:bookmarkStart w:id="1" w:name="_Toc12828"/>
      <w:r>
        <w:rPr>
          <w:rFonts w:eastAsia="黑体" w:hint="eastAsia"/>
          <w:color w:val="000000"/>
          <w:kern w:val="0"/>
          <w:sz w:val="32"/>
          <w:szCs w:val="32"/>
        </w:rPr>
        <w:t>一、部门概况</w:t>
      </w:r>
      <w:bookmarkEnd w:id="0"/>
      <w:bookmarkEnd w:id="1"/>
    </w:p>
    <w:p w:rsidR="00477B5A" w:rsidRDefault="00241D64">
      <w:pPr>
        <w:adjustRightInd w:val="0"/>
        <w:snapToGrid w:val="0"/>
        <w:spacing w:line="360" w:lineRule="auto"/>
        <w:ind w:firstLineChars="200" w:firstLine="640"/>
        <w:outlineLvl w:val="1"/>
        <w:rPr>
          <w:rFonts w:eastAsia="楷体_GB2312"/>
          <w:sz w:val="32"/>
          <w:szCs w:val="32"/>
        </w:rPr>
      </w:pPr>
      <w:bookmarkStart w:id="2" w:name="_Toc31980"/>
      <w:bookmarkStart w:id="3" w:name="_Toc19802"/>
      <w:r>
        <w:rPr>
          <w:rFonts w:eastAsia="楷体_GB2312" w:hint="eastAsia"/>
          <w:sz w:val="32"/>
          <w:szCs w:val="32"/>
        </w:rPr>
        <w:t>（一）机构设置及职责工作任务情况</w:t>
      </w:r>
      <w:bookmarkEnd w:id="2"/>
      <w:bookmarkEnd w:id="3"/>
    </w:p>
    <w:p w:rsidR="00477B5A" w:rsidRDefault="00241D64">
      <w:pPr>
        <w:pStyle w:val="3"/>
        <w:adjustRightInd w:val="0"/>
        <w:snapToGrid w:val="0"/>
        <w:spacing w:line="360" w:lineRule="auto"/>
        <w:ind w:leftChars="0" w:left="0" w:firstLineChars="200" w:firstLine="640"/>
        <w:outlineLvl w:val="2"/>
        <w:rPr>
          <w:rFonts w:ascii="仿宋_GB2312" w:eastAsia="仿宋_GB2312" w:hAnsi="仿宋_GB2312" w:cs="仿宋_GB2312"/>
          <w:bCs/>
          <w:sz w:val="32"/>
          <w:szCs w:val="32"/>
        </w:rPr>
      </w:pPr>
      <w:bookmarkStart w:id="4" w:name="_Toc72438576"/>
      <w:bookmarkStart w:id="5" w:name="_Toc72438997"/>
      <w:bookmarkStart w:id="6" w:name="_Toc102158216"/>
      <w:bookmarkStart w:id="7" w:name="_Toc102140635"/>
      <w:bookmarkStart w:id="8" w:name="_Toc11075"/>
      <w:r>
        <w:rPr>
          <w:rFonts w:ascii="仿宋_GB2312" w:eastAsia="仿宋_GB2312" w:hAnsi="仿宋_GB2312" w:cs="仿宋_GB2312" w:hint="eastAsia"/>
          <w:bCs/>
          <w:sz w:val="32"/>
          <w:szCs w:val="32"/>
        </w:rPr>
        <w:t>1.</w:t>
      </w:r>
      <w:bookmarkEnd w:id="4"/>
      <w:bookmarkEnd w:id="5"/>
      <w:r>
        <w:rPr>
          <w:rFonts w:ascii="仿宋_GB2312" w:eastAsia="仿宋_GB2312" w:hAnsi="仿宋_GB2312" w:cs="仿宋_GB2312" w:hint="eastAsia"/>
          <w:bCs/>
          <w:sz w:val="32"/>
          <w:szCs w:val="32"/>
        </w:rPr>
        <w:t>部门职责</w:t>
      </w:r>
      <w:bookmarkEnd w:id="6"/>
      <w:bookmarkEnd w:id="7"/>
      <w:bookmarkEnd w:id="8"/>
    </w:p>
    <w:p w:rsidR="00477B5A" w:rsidRDefault="00241D64">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北京社会主义学院（以下简称“北京社院”）是中国共产党领导的统一战线性质的政治学院，是民主党派和无党派人士的联合党校，是统一战线人才教育培养主阵地，是开展党的统一战线工作的重要部门，是党和国家干部教育培训体系的重要组成部分。根据《社会主义学院工作条例》和《关于加强和改进新时代社会主义学院工作的意见》，北京社院主要职责包括以下五个方面：一是培训民主党派和无党派人士、统一战线其他领域代表人士，培训统战干部，培养统一战线理论研究人才，承办党委和政府举办的有关专题研讨班；二是组织开展马克思列宁主义、毛泽东思想、邓小平理论、“三个代表”重要思想、科学发展观、习近平新时代中国特色社会主义思想，以及党的统一战线理论和方针政策的研究和宣传，推进理论创新；三是组织开展决策咨询工作，为党委和政府决策服务；四是组织开展中华文化的教育、研究和对外交流；五是开展联谊交友。</w:t>
      </w:r>
    </w:p>
    <w:p w:rsidR="00477B5A" w:rsidRDefault="00241D64">
      <w:pPr>
        <w:pStyle w:val="3"/>
        <w:adjustRightInd w:val="0"/>
        <w:snapToGrid w:val="0"/>
        <w:spacing w:line="360" w:lineRule="auto"/>
        <w:ind w:leftChars="0" w:left="0" w:firstLineChars="200" w:firstLine="640"/>
        <w:outlineLvl w:val="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2.机构设置及人员情况</w:t>
      </w:r>
    </w:p>
    <w:p w:rsidR="00477B5A" w:rsidRDefault="00241D6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北京社院内设</w:t>
      </w:r>
      <w:r w:rsidR="00E01A7B">
        <w:rPr>
          <w:rFonts w:ascii="仿宋_GB2312" w:eastAsia="仿宋_GB2312" w:hAnsi="仿宋_GB2312" w:cs="仿宋_GB2312" w:hint="eastAsia"/>
          <w:sz w:val="32"/>
          <w:szCs w:val="32"/>
        </w:rPr>
        <w:t>11</w:t>
      </w:r>
      <w:r>
        <w:rPr>
          <w:rFonts w:ascii="仿宋_GB2312" w:eastAsia="仿宋_GB2312" w:hAnsi="仿宋_GB2312" w:cs="仿宋_GB2312" w:hint="eastAsia"/>
          <w:bCs/>
          <w:sz w:val="32"/>
          <w:szCs w:val="32"/>
        </w:rPr>
        <w:t>个部室，分别为办公室、人事保卫部、行政部、教务部、科研管理部、文化交流培训部、教研</w:t>
      </w:r>
      <w:r w:rsidR="00E01A7B">
        <w:rPr>
          <w:rFonts w:ascii="仿宋_GB2312" w:eastAsia="仿宋_GB2312" w:hAnsi="仿宋_GB2312" w:cs="仿宋_GB2312" w:hint="eastAsia"/>
          <w:bCs/>
          <w:sz w:val="32"/>
          <w:szCs w:val="32"/>
        </w:rPr>
        <w:t>一</w:t>
      </w:r>
      <w:r>
        <w:rPr>
          <w:rFonts w:ascii="仿宋_GB2312" w:eastAsia="仿宋_GB2312" w:hAnsi="仿宋_GB2312" w:cs="仿宋_GB2312" w:hint="eastAsia"/>
          <w:bCs/>
          <w:sz w:val="32"/>
          <w:szCs w:val="32"/>
        </w:rPr>
        <w:t>部、</w:t>
      </w:r>
      <w:r w:rsidR="00E01A7B">
        <w:rPr>
          <w:rFonts w:ascii="仿宋_GB2312" w:eastAsia="仿宋_GB2312" w:hAnsi="仿宋_GB2312" w:cs="仿宋_GB2312" w:hint="eastAsia"/>
          <w:bCs/>
          <w:sz w:val="32"/>
          <w:szCs w:val="32"/>
        </w:rPr>
        <w:t>教研二部、</w:t>
      </w:r>
      <w:r>
        <w:rPr>
          <w:rFonts w:ascii="仿宋_GB2312" w:eastAsia="仿宋_GB2312" w:hAnsi="仿宋_GB2312" w:cs="仿宋_GB2312" w:hint="eastAsia"/>
          <w:bCs/>
          <w:sz w:val="32"/>
          <w:szCs w:val="32"/>
        </w:rPr>
        <w:t>信息技术部、学员工作部</w:t>
      </w:r>
      <w:r w:rsidR="00E01A7B">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个职能部室和机关党委(工会)，</w:t>
      </w:r>
      <w:r>
        <w:rPr>
          <w:rFonts w:ascii="仿宋_GB2312" w:eastAsia="仿宋_GB2312" w:hAnsi="仿宋_GB2312" w:cs="仿宋_GB2312" w:hint="eastAsia"/>
          <w:sz w:val="32"/>
          <w:szCs w:val="32"/>
        </w:rPr>
        <w:t>各部室职能情况见表1。</w:t>
      </w:r>
    </w:p>
    <w:p w:rsidR="00477B5A" w:rsidRDefault="00241D64">
      <w:pPr>
        <w:adjustRightInd w:val="0"/>
        <w:snapToGrid w:val="0"/>
        <w:spacing w:line="360" w:lineRule="auto"/>
        <w:jc w:val="center"/>
        <w:rPr>
          <w:rFonts w:ascii="黑体" w:eastAsia="黑体" w:hAnsi="黑体" w:cs="黑体"/>
          <w:sz w:val="28"/>
          <w:szCs w:val="28"/>
        </w:rPr>
      </w:pPr>
      <w:r>
        <w:rPr>
          <w:rFonts w:ascii="黑体" w:eastAsia="黑体" w:hAnsi="黑体" w:cs="黑体" w:hint="eastAsia"/>
          <w:sz w:val="28"/>
          <w:szCs w:val="28"/>
        </w:rPr>
        <w:t>表1：北京社院内设部室主要职责表</w:t>
      </w:r>
    </w:p>
    <w:tbl>
      <w:tblPr>
        <w:tblStyle w:val="ab"/>
        <w:tblW w:w="0" w:type="auto"/>
        <w:jc w:val="center"/>
        <w:tblLook w:val="04A0"/>
      </w:tblPr>
      <w:tblGrid>
        <w:gridCol w:w="697"/>
        <w:gridCol w:w="1288"/>
        <w:gridCol w:w="6536"/>
      </w:tblGrid>
      <w:tr w:rsidR="00477B5A">
        <w:trPr>
          <w:cantSplit/>
          <w:trHeight w:val="454"/>
          <w:tblHeader/>
          <w:jc w:val="center"/>
        </w:trPr>
        <w:tc>
          <w:tcPr>
            <w:tcW w:w="697" w:type="dxa"/>
            <w:vAlign w:val="center"/>
          </w:tcPr>
          <w:p w:rsidR="00477B5A" w:rsidRDefault="00241D64">
            <w:pPr>
              <w:adjustRightInd w:val="0"/>
              <w:snapToGrid w:val="0"/>
              <w:jc w:val="center"/>
              <w:rPr>
                <w:rFonts w:ascii="宋体" w:hAnsi="宋体" w:cs="宋体"/>
                <w:b/>
                <w:bCs/>
                <w:sz w:val="20"/>
                <w:szCs w:val="20"/>
              </w:rPr>
            </w:pPr>
            <w:r>
              <w:rPr>
                <w:rFonts w:ascii="宋体" w:hAnsi="宋体" w:cs="宋体" w:hint="eastAsia"/>
                <w:b/>
                <w:bCs/>
                <w:sz w:val="20"/>
                <w:szCs w:val="20"/>
              </w:rPr>
              <w:t>序号</w:t>
            </w:r>
          </w:p>
        </w:tc>
        <w:tc>
          <w:tcPr>
            <w:tcW w:w="1288" w:type="dxa"/>
            <w:vAlign w:val="center"/>
          </w:tcPr>
          <w:p w:rsidR="00477B5A" w:rsidRDefault="00241D64">
            <w:pPr>
              <w:adjustRightInd w:val="0"/>
              <w:snapToGrid w:val="0"/>
              <w:jc w:val="center"/>
              <w:rPr>
                <w:rFonts w:ascii="宋体" w:hAnsi="宋体" w:cs="宋体"/>
                <w:b/>
                <w:bCs/>
                <w:sz w:val="20"/>
                <w:szCs w:val="20"/>
              </w:rPr>
            </w:pPr>
            <w:r>
              <w:rPr>
                <w:rFonts w:ascii="宋体" w:hAnsi="宋体" w:cs="宋体" w:hint="eastAsia"/>
                <w:b/>
                <w:bCs/>
                <w:sz w:val="20"/>
                <w:szCs w:val="20"/>
              </w:rPr>
              <w:t>部室</w:t>
            </w:r>
          </w:p>
        </w:tc>
        <w:tc>
          <w:tcPr>
            <w:tcW w:w="6536" w:type="dxa"/>
            <w:vAlign w:val="center"/>
          </w:tcPr>
          <w:p w:rsidR="00477B5A" w:rsidRDefault="00241D64">
            <w:pPr>
              <w:adjustRightInd w:val="0"/>
              <w:snapToGrid w:val="0"/>
              <w:jc w:val="center"/>
              <w:rPr>
                <w:rFonts w:ascii="宋体" w:hAnsi="宋体" w:cs="宋体"/>
                <w:b/>
                <w:bCs/>
                <w:sz w:val="20"/>
                <w:szCs w:val="20"/>
              </w:rPr>
            </w:pPr>
            <w:r>
              <w:rPr>
                <w:rFonts w:ascii="宋体" w:hAnsi="宋体" w:cs="宋体" w:hint="eastAsia"/>
                <w:b/>
                <w:bCs/>
                <w:sz w:val="20"/>
                <w:szCs w:val="20"/>
              </w:rPr>
              <w:t>主要职责</w:t>
            </w:r>
          </w:p>
        </w:tc>
      </w:tr>
      <w:tr w:rsidR="00477B5A">
        <w:trPr>
          <w:cantSplit/>
          <w:trHeight w:val="454"/>
          <w:jc w:val="center"/>
        </w:trPr>
        <w:tc>
          <w:tcPr>
            <w:tcW w:w="697"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1</w:t>
            </w:r>
          </w:p>
        </w:tc>
        <w:tc>
          <w:tcPr>
            <w:tcW w:w="1288"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办公室</w:t>
            </w:r>
          </w:p>
        </w:tc>
        <w:tc>
          <w:tcPr>
            <w:tcW w:w="6536" w:type="dxa"/>
            <w:vAlign w:val="center"/>
          </w:tcPr>
          <w:p w:rsidR="00477B5A" w:rsidRDefault="00241D64">
            <w:pPr>
              <w:adjustRightInd w:val="0"/>
              <w:snapToGrid w:val="0"/>
              <w:jc w:val="left"/>
              <w:rPr>
                <w:rFonts w:ascii="宋体" w:hAnsi="宋体" w:cs="宋体"/>
                <w:kern w:val="0"/>
                <w:sz w:val="20"/>
                <w:szCs w:val="20"/>
              </w:rPr>
            </w:pPr>
            <w:r>
              <w:rPr>
                <w:rFonts w:ascii="宋体" w:hAnsi="宋体" w:cs="宋体" w:hint="eastAsia"/>
                <w:kern w:val="0"/>
                <w:sz w:val="20"/>
                <w:szCs w:val="20"/>
              </w:rPr>
              <w:t>负责协助院领导对学院政务运转进行综合管理，制定相关规章制度，并组织实施。承担党组会秘书工作；负责学院制度建设的综合管理；负责督查督办工作；负责保密、机要、档案、公文运转及文印管理；负责学院综合性会议、活动的组织工作；负责学院综合性文字材料的起草；负责信息工作、宣传工作及学院网站管理；负责车辆管理和交通安全管理；负责学院值班管理；负责财务管理工作，做好预算编制、预算执行和决算管理，加强财务控制和监督，加强资产财务管理；负责干部职工医疗、体检、计划生育等工作；负责对外联络接待工作，联系区县社院；完成学院交办的其它各项工作任务。</w:t>
            </w:r>
          </w:p>
        </w:tc>
      </w:tr>
      <w:tr w:rsidR="00477B5A">
        <w:trPr>
          <w:cantSplit/>
          <w:trHeight w:val="454"/>
          <w:jc w:val="center"/>
        </w:trPr>
        <w:tc>
          <w:tcPr>
            <w:tcW w:w="697"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2</w:t>
            </w:r>
          </w:p>
        </w:tc>
        <w:tc>
          <w:tcPr>
            <w:tcW w:w="1288"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人事保卫部</w:t>
            </w:r>
          </w:p>
        </w:tc>
        <w:tc>
          <w:tcPr>
            <w:tcW w:w="6536" w:type="dxa"/>
            <w:vAlign w:val="center"/>
          </w:tcPr>
          <w:p w:rsidR="00477B5A" w:rsidRDefault="00241D64">
            <w:pPr>
              <w:adjustRightInd w:val="0"/>
              <w:snapToGrid w:val="0"/>
              <w:jc w:val="left"/>
              <w:rPr>
                <w:rFonts w:ascii="宋体" w:hAnsi="宋体" w:cs="宋体"/>
                <w:kern w:val="0"/>
                <w:sz w:val="20"/>
                <w:szCs w:val="20"/>
              </w:rPr>
            </w:pPr>
            <w:r>
              <w:rPr>
                <w:rFonts w:ascii="宋体" w:hAnsi="宋体" w:cs="宋体" w:hint="eastAsia"/>
                <w:kern w:val="0"/>
                <w:sz w:val="20"/>
                <w:szCs w:val="20"/>
              </w:rPr>
              <w:t>负责干部人事工作综合管理，制定相关规章制度，并组织实施。负责机构、人员编制管理；负责干部任免、考核、培训、交流等工作；负责事业编人员聘用和岗位聘任工作；负责专业技术职务和技术等级管理；负责薪酬和社会保险管理；负责退休干部管理；负责干部人事档案和人事信息管理，及出国政审、户口管理等工作；按党组要求协助做好领导班子建设工作，做好后备干部工作；负责学院统计工作的综合管理；完成学院交办的其它各项工作任务。</w:t>
            </w:r>
          </w:p>
        </w:tc>
      </w:tr>
      <w:tr w:rsidR="00477B5A">
        <w:trPr>
          <w:cantSplit/>
          <w:trHeight w:val="454"/>
          <w:jc w:val="center"/>
        </w:trPr>
        <w:tc>
          <w:tcPr>
            <w:tcW w:w="697"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3</w:t>
            </w:r>
          </w:p>
        </w:tc>
        <w:tc>
          <w:tcPr>
            <w:tcW w:w="1288"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行政部</w:t>
            </w:r>
          </w:p>
        </w:tc>
        <w:tc>
          <w:tcPr>
            <w:tcW w:w="6536" w:type="dxa"/>
            <w:vAlign w:val="center"/>
          </w:tcPr>
          <w:p w:rsidR="00477B5A" w:rsidRDefault="00241D64">
            <w:pPr>
              <w:adjustRightInd w:val="0"/>
              <w:snapToGrid w:val="0"/>
              <w:jc w:val="left"/>
              <w:rPr>
                <w:rFonts w:ascii="宋体" w:hAnsi="宋体" w:cs="宋体"/>
                <w:sz w:val="20"/>
                <w:szCs w:val="20"/>
              </w:rPr>
            </w:pPr>
            <w:r>
              <w:rPr>
                <w:rFonts w:ascii="宋体" w:hAnsi="宋体" w:cs="宋体" w:hint="eastAsia"/>
                <w:color w:val="383838"/>
                <w:sz w:val="20"/>
                <w:szCs w:val="20"/>
                <w:shd w:val="clear" w:color="auto" w:fill="FFFFFF"/>
              </w:rPr>
              <w:t>负责行政后勤相关工作的综合管理，制定相关规章制度，并组织实施。负责安全保卫工作，做好校园治安管理、消防安全管理工作；负责校园建设规划的拟定和实施，负责基本建设工程的立项、规划、招投标、施工组织管理；负责设备设施大中型维修修缮及整体更新改造工作；负责楼宇外（含外墙面）设备设施的日常维修工作；负责固定资产综合管理和日常办公用品的管理工作；协调、指导、监督、检查保安等有关社会化公司的相关工作；负责办公用房、职工住房、职工宿舍的综合管理工作和其他相关事务工作；完成学院交办的其它各项工作任务。</w:t>
            </w:r>
          </w:p>
        </w:tc>
      </w:tr>
      <w:tr w:rsidR="00477B5A">
        <w:trPr>
          <w:cantSplit/>
          <w:trHeight w:val="454"/>
          <w:jc w:val="center"/>
        </w:trPr>
        <w:tc>
          <w:tcPr>
            <w:tcW w:w="697"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lastRenderedPageBreak/>
              <w:t>4</w:t>
            </w:r>
          </w:p>
        </w:tc>
        <w:tc>
          <w:tcPr>
            <w:tcW w:w="1288"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教务部</w:t>
            </w:r>
          </w:p>
        </w:tc>
        <w:tc>
          <w:tcPr>
            <w:tcW w:w="6536" w:type="dxa"/>
            <w:vAlign w:val="center"/>
          </w:tcPr>
          <w:p w:rsidR="00477B5A" w:rsidRDefault="00241D64">
            <w:pPr>
              <w:adjustRightInd w:val="0"/>
              <w:snapToGrid w:val="0"/>
              <w:jc w:val="left"/>
              <w:rPr>
                <w:rFonts w:ascii="宋体" w:hAnsi="宋体" w:cs="宋体"/>
                <w:sz w:val="20"/>
                <w:szCs w:val="20"/>
              </w:rPr>
            </w:pPr>
            <w:r>
              <w:rPr>
                <w:rFonts w:ascii="宋体" w:hAnsi="宋体" w:cs="宋体" w:hint="eastAsia"/>
                <w:color w:val="383838"/>
                <w:sz w:val="20"/>
                <w:szCs w:val="20"/>
                <w:shd w:val="clear" w:color="auto" w:fill="FFFFFF"/>
              </w:rPr>
              <w:t>负责教学培训工作的综合管理，制定相关规章制度，并组织实施。负责制定并组织实施培训计划；负责制定各培训班次教学计划，安排培训课程；负责协调教学活动，组织教学过程实施；负责开展教学研究和改革工作；负责学员管理；负责专职教师教学评估及兼职教师选聘与管理；负责教材的综合管理；负责北京网上社院等网上教学的综合管理工作；负责指导区县社院教学工作，培训区县师资；完成学院交办的其它各项工作任务。</w:t>
            </w:r>
          </w:p>
        </w:tc>
      </w:tr>
      <w:tr w:rsidR="00477B5A">
        <w:trPr>
          <w:cantSplit/>
          <w:trHeight w:val="454"/>
          <w:jc w:val="center"/>
        </w:trPr>
        <w:tc>
          <w:tcPr>
            <w:tcW w:w="697"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5</w:t>
            </w:r>
          </w:p>
        </w:tc>
        <w:tc>
          <w:tcPr>
            <w:tcW w:w="1288"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科研管理部</w:t>
            </w:r>
          </w:p>
        </w:tc>
        <w:tc>
          <w:tcPr>
            <w:tcW w:w="6536" w:type="dxa"/>
            <w:vAlign w:val="center"/>
          </w:tcPr>
          <w:p w:rsidR="00477B5A" w:rsidRDefault="00241D64">
            <w:pPr>
              <w:adjustRightInd w:val="0"/>
              <w:snapToGrid w:val="0"/>
              <w:jc w:val="left"/>
              <w:rPr>
                <w:rFonts w:ascii="宋体" w:hAnsi="宋体" w:cs="宋体"/>
                <w:sz w:val="20"/>
                <w:szCs w:val="20"/>
              </w:rPr>
            </w:pPr>
            <w:r>
              <w:rPr>
                <w:rFonts w:ascii="宋体" w:hAnsi="宋体" w:cs="宋体" w:hint="eastAsia"/>
                <w:color w:val="383838"/>
                <w:sz w:val="20"/>
                <w:szCs w:val="20"/>
                <w:shd w:val="clear" w:color="auto" w:fill="FFFFFF"/>
              </w:rPr>
              <w:t>负责科研工作的综合管理，制定相关规章制度，并组织实施。负责科研课题的申报、立项、监督实施及评审验收；负责科研学术成果的认定、成果转化等工作；负责科研协作与交流工作；负责学术活动的综合管理工作；负责科研经费的使用管理；承担《北京社会主义学院学报》编辑工作；组织或参与学院发展中有关重大问题或重要工作的调研，并负责相关文稿的撰写工作；负责指导区县社院科研工作；承担统战理论研究基地秘书处工作；完成学院交办的其它各项工作任务。</w:t>
            </w:r>
          </w:p>
        </w:tc>
      </w:tr>
      <w:tr w:rsidR="00477B5A">
        <w:trPr>
          <w:cantSplit/>
          <w:trHeight w:val="454"/>
          <w:jc w:val="center"/>
        </w:trPr>
        <w:tc>
          <w:tcPr>
            <w:tcW w:w="697"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6</w:t>
            </w:r>
          </w:p>
        </w:tc>
        <w:tc>
          <w:tcPr>
            <w:tcW w:w="1288"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文化交流培训部</w:t>
            </w:r>
          </w:p>
        </w:tc>
        <w:tc>
          <w:tcPr>
            <w:tcW w:w="6536" w:type="dxa"/>
            <w:vAlign w:val="center"/>
          </w:tcPr>
          <w:p w:rsidR="00477B5A" w:rsidRDefault="00241D64">
            <w:pPr>
              <w:adjustRightInd w:val="0"/>
              <w:snapToGrid w:val="0"/>
              <w:jc w:val="left"/>
              <w:rPr>
                <w:rFonts w:ascii="宋体" w:hAnsi="宋体" w:cs="宋体"/>
                <w:sz w:val="20"/>
                <w:szCs w:val="20"/>
              </w:rPr>
            </w:pPr>
            <w:r>
              <w:rPr>
                <w:rFonts w:ascii="宋体" w:hAnsi="宋体" w:cs="宋体" w:hint="eastAsia"/>
                <w:color w:val="383838"/>
                <w:sz w:val="20"/>
                <w:szCs w:val="20"/>
                <w:shd w:val="clear" w:color="auto" w:fill="FFFFFF"/>
              </w:rPr>
              <w:t>负责组织港澳台和海外文化交流联谊；负责组织实施相关教育培训与学员管理；负责指导区级文化学院业务工作；承担学院外事工作；完成学院交办的其他工作任务。</w:t>
            </w:r>
          </w:p>
        </w:tc>
      </w:tr>
      <w:tr w:rsidR="00E01A7B" w:rsidTr="00E01A7B">
        <w:trPr>
          <w:cantSplit/>
          <w:trHeight w:val="954"/>
          <w:jc w:val="center"/>
        </w:trPr>
        <w:tc>
          <w:tcPr>
            <w:tcW w:w="697" w:type="dxa"/>
            <w:vAlign w:val="center"/>
          </w:tcPr>
          <w:p w:rsidR="00E01A7B" w:rsidRDefault="00E01A7B">
            <w:pPr>
              <w:adjustRightInd w:val="0"/>
              <w:snapToGrid w:val="0"/>
              <w:jc w:val="center"/>
              <w:rPr>
                <w:rFonts w:ascii="宋体" w:hAnsi="宋体" w:cs="宋体" w:hint="eastAsia"/>
                <w:sz w:val="20"/>
                <w:szCs w:val="20"/>
              </w:rPr>
            </w:pPr>
            <w:r>
              <w:rPr>
                <w:rFonts w:ascii="宋体" w:hAnsi="宋体" w:cs="宋体" w:hint="eastAsia"/>
                <w:sz w:val="20"/>
                <w:szCs w:val="20"/>
              </w:rPr>
              <w:t>7</w:t>
            </w:r>
          </w:p>
        </w:tc>
        <w:tc>
          <w:tcPr>
            <w:tcW w:w="1288" w:type="dxa"/>
            <w:vAlign w:val="center"/>
          </w:tcPr>
          <w:p w:rsidR="00E01A7B" w:rsidRDefault="00E01A7B">
            <w:pPr>
              <w:adjustRightInd w:val="0"/>
              <w:snapToGrid w:val="0"/>
              <w:jc w:val="center"/>
              <w:rPr>
                <w:rFonts w:ascii="宋体" w:hAnsi="宋体" w:cs="宋体" w:hint="eastAsia"/>
                <w:sz w:val="20"/>
                <w:szCs w:val="20"/>
              </w:rPr>
            </w:pPr>
            <w:r>
              <w:rPr>
                <w:rFonts w:ascii="宋体" w:hAnsi="宋体" w:cs="宋体" w:hint="eastAsia"/>
                <w:sz w:val="20"/>
                <w:szCs w:val="20"/>
              </w:rPr>
              <w:t>教研一部</w:t>
            </w:r>
          </w:p>
        </w:tc>
        <w:tc>
          <w:tcPr>
            <w:tcW w:w="6536" w:type="dxa"/>
            <w:vAlign w:val="center"/>
          </w:tcPr>
          <w:p w:rsidR="00E01A7B" w:rsidRDefault="00E01A7B" w:rsidP="00E01A7B">
            <w:pPr>
              <w:adjustRightInd w:val="0"/>
              <w:snapToGrid w:val="0"/>
              <w:spacing w:after="160" w:line="240" w:lineRule="exact"/>
              <w:jc w:val="left"/>
              <w:rPr>
                <w:rFonts w:ascii="宋体" w:hAnsi="宋体" w:cs="宋体" w:hint="eastAsia"/>
                <w:sz w:val="20"/>
                <w:szCs w:val="20"/>
              </w:rPr>
            </w:pPr>
            <w:r w:rsidRPr="00006FAB">
              <w:rPr>
                <w:rFonts w:ascii="宋体" w:hAnsi="宋体" w:cs="宋体" w:hint="eastAsia"/>
                <w:sz w:val="20"/>
                <w:szCs w:val="20"/>
              </w:rPr>
              <w:t>承担统一战线基本理论、多党合作制度等方面的教</w:t>
            </w:r>
            <w:r>
              <w:rPr>
                <w:rFonts w:ascii="宋体" w:hAnsi="宋体" w:cs="宋体" w:hint="eastAsia"/>
                <w:sz w:val="20"/>
                <w:szCs w:val="20"/>
              </w:rPr>
              <w:t>学科研工作；承担相关教材、教学参考资料的编写工作；参与拟定各</w:t>
            </w:r>
            <w:r w:rsidRPr="00006FAB">
              <w:rPr>
                <w:rFonts w:ascii="宋体" w:hAnsi="宋体" w:cs="宋体" w:hint="eastAsia"/>
                <w:sz w:val="20"/>
                <w:szCs w:val="20"/>
              </w:rPr>
              <w:t>班次教学计划；承担相关网上教学内容的审核工作。</w:t>
            </w:r>
          </w:p>
        </w:tc>
      </w:tr>
      <w:tr w:rsidR="00477B5A">
        <w:trPr>
          <w:cantSplit/>
          <w:trHeight w:val="454"/>
          <w:jc w:val="center"/>
        </w:trPr>
        <w:tc>
          <w:tcPr>
            <w:tcW w:w="697" w:type="dxa"/>
            <w:vAlign w:val="center"/>
          </w:tcPr>
          <w:p w:rsidR="00477B5A" w:rsidRDefault="00E01A7B">
            <w:pPr>
              <w:adjustRightInd w:val="0"/>
              <w:snapToGrid w:val="0"/>
              <w:jc w:val="center"/>
              <w:rPr>
                <w:rFonts w:ascii="宋体" w:hAnsi="宋体" w:cs="宋体"/>
                <w:sz w:val="20"/>
                <w:szCs w:val="20"/>
              </w:rPr>
            </w:pPr>
            <w:r>
              <w:rPr>
                <w:rFonts w:ascii="宋体" w:hAnsi="宋体" w:cs="宋体" w:hint="eastAsia"/>
                <w:sz w:val="20"/>
                <w:szCs w:val="20"/>
              </w:rPr>
              <w:t>8</w:t>
            </w:r>
          </w:p>
        </w:tc>
        <w:tc>
          <w:tcPr>
            <w:tcW w:w="1288"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教研</w:t>
            </w:r>
            <w:r w:rsidR="00E01A7B">
              <w:rPr>
                <w:rFonts w:ascii="宋体" w:hAnsi="宋体" w:cs="宋体" w:hint="eastAsia"/>
                <w:sz w:val="20"/>
                <w:szCs w:val="20"/>
              </w:rPr>
              <w:t>二</w:t>
            </w:r>
            <w:r>
              <w:rPr>
                <w:rFonts w:ascii="宋体" w:hAnsi="宋体" w:cs="宋体" w:hint="eastAsia"/>
                <w:sz w:val="20"/>
                <w:szCs w:val="20"/>
              </w:rPr>
              <w:t>部</w:t>
            </w:r>
          </w:p>
        </w:tc>
        <w:tc>
          <w:tcPr>
            <w:tcW w:w="6536" w:type="dxa"/>
            <w:vAlign w:val="center"/>
          </w:tcPr>
          <w:p w:rsidR="00477B5A" w:rsidRDefault="00E01A7B">
            <w:pPr>
              <w:pStyle w:val="3"/>
              <w:adjustRightInd w:val="0"/>
              <w:snapToGrid w:val="0"/>
              <w:ind w:leftChars="0" w:left="0"/>
              <w:jc w:val="left"/>
              <w:rPr>
                <w:rFonts w:ascii="宋体" w:hAnsi="宋体" w:cs="宋体"/>
                <w:sz w:val="20"/>
                <w:szCs w:val="20"/>
              </w:rPr>
            </w:pPr>
            <w:r w:rsidRPr="00006FAB">
              <w:rPr>
                <w:rFonts w:ascii="宋体" w:hAnsi="宋体" w:cs="宋体" w:hint="eastAsia"/>
                <w:sz w:val="20"/>
                <w:szCs w:val="20"/>
              </w:rPr>
              <w:t>承担中华文化与统一战线、港澳台侨统战工作等方面的教</w:t>
            </w:r>
            <w:r>
              <w:rPr>
                <w:rFonts w:ascii="宋体" w:hAnsi="宋体" w:cs="宋体" w:hint="eastAsia"/>
                <w:sz w:val="20"/>
                <w:szCs w:val="20"/>
              </w:rPr>
              <w:t>学科研工作；承担相关教材、教学参考资料的编写工作；参与拟定各</w:t>
            </w:r>
            <w:r w:rsidRPr="00006FAB">
              <w:rPr>
                <w:rFonts w:ascii="宋体" w:hAnsi="宋体" w:cs="宋体" w:hint="eastAsia"/>
                <w:sz w:val="20"/>
                <w:szCs w:val="20"/>
              </w:rPr>
              <w:t>班次教学计划；承担相关网上教学内容的审核工作。</w:t>
            </w:r>
          </w:p>
        </w:tc>
      </w:tr>
      <w:tr w:rsidR="00477B5A">
        <w:trPr>
          <w:cantSplit/>
          <w:trHeight w:val="454"/>
          <w:jc w:val="center"/>
        </w:trPr>
        <w:tc>
          <w:tcPr>
            <w:tcW w:w="697" w:type="dxa"/>
            <w:vAlign w:val="center"/>
          </w:tcPr>
          <w:p w:rsidR="00477B5A" w:rsidRDefault="00E01A7B">
            <w:pPr>
              <w:adjustRightInd w:val="0"/>
              <w:snapToGrid w:val="0"/>
              <w:jc w:val="center"/>
              <w:rPr>
                <w:rFonts w:ascii="宋体" w:hAnsi="宋体" w:cs="宋体"/>
                <w:sz w:val="20"/>
                <w:szCs w:val="20"/>
              </w:rPr>
            </w:pPr>
            <w:r>
              <w:rPr>
                <w:rFonts w:ascii="宋体" w:hAnsi="宋体" w:cs="宋体" w:hint="eastAsia"/>
                <w:sz w:val="20"/>
                <w:szCs w:val="20"/>
              </w:rPr>
              <w:t>9</w:t>
            </w:r>
          </w:p>
        </w:tc>
        <w:tc>
          <w:tcPr>
            <w:tcW w:w="1288"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信息技术部</w:t>
            </w:r>
          </w:p>
        </w:tc>
        <w:tc>
          <w:tcPr>
            <w:tcW w:w="6536" w:type="dxa"/>
            <w:vAlign w:val="center"/>
          </w:tcPr>
          <w:p w:rsidR="00477B5A" w:rsidRDefault="00241D64">
            <w:pPr>
              <w:adjustRightInd w:val="0"/>
              <w:snapToGrid w:val="0"/>
              <w:jc w:val="left"/>
              <w:rPr>
                <w:rFonts w:ascii="宋体" w:hAnsi="宋体" w:cs="宋体"/>
                <w:sz w:val="20"/>
                <w:szCs w:val="20"/>
              </w:rPr>
            </w:pPr>
            <w:r>
              <w:rPr>
                <w:rFonts w:ascii="宋体" w:hAnsi="宋体" w:cs="宋体" w:hint="eastAsia"/>
                <w:color w:val="383838"/>
                <w:sz w:val="20"/>
                <w:szCs w:val="20"/>
                <w:shd w:val="clear" w:color="auto" w:fill="FFFFFF"/>
              </w:rPr>
              <w:t>负责信息化建设的规划、组织实施；负责网络的建设与维护工作；负责教学科研软件、影视音像制品、多媒体等教学和科研辅助产品的开发制作；负责教学科研和办公现代化信息技术保障工作；负责图书馆管理工作；负责计算机及其它电子办公设备的管理、维护、维修等；负责语音、计算机等专业教室的管理；完成学院交办的其它各项工作任务。</w:t>
            </w:r>
          </w:p>
        </w:tc>
      </w:tr>
      <w:tr w:rsidR="00477B5A">
        <w:trPr>
          <w:cantSplit/>
          <w:trHeight w:val="454"/>
          <w:jc w:val="center"/>
        </w:trPr>
        <w:tc>
          <w:tcPr>
            <w:tcW w:w="697" w:type="dxa"/>
            <w:vAlign w:val="center"/>
          </w:tcPr>
          <w:p w:rsidR="00477B5A" w:rsidRDefault="00E01A7B">
            <w:pPr>
              <w:adjustRightInd w:val="0"/>
              <w:snapToGrid w:val="0"/>
              <w:jc w:val="center"/>
              <w:rPr>
                <w:rFonts w:ascii="宋体" w:hAnsi="宋体" w:cs="宋体"/>
                <w:sz w:val="20"/>
                <w:szCs w:val="20"/>
              </w:rPr>
            </w:pPr>
            <w:r>
              <w:rPr>
                <w:rFonts w:ascii="宋体" w:hAnsi="宋体" w:cs="宋体" w:hint="eastAsia"/>
                <w:sz w:val="20"/>
                <w:szCs w:val="20"/>
              </w:rPr>
              <w:t>10</w:t>
            </w:r>
          </w:p>
        </w:tc>
        <w:tc>
          <w:tcPr>
            <w:tcW w:w="1288"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学员工作部</w:t>
            </w:r>
          </w:p>
        </w:tc>
        <w:tc>
          <w:tcPr>
            <w:tcW w:w="6536" w:type="dxa"/>
            <w:vAlign w:val="center"/>
          </w:tcPr>
          <w:p w:rsidR="00477B5A" w:rsidRDefault="00241D64">
            <w:pPr>
              <w:adjustRightInd w:val="0"/>
              <w:snapToGrid w:val="0"/>
              <w:jc w:val="left"/>
              <w:rPr>
                <w:rFonts w:ascii="宋体" w:hAnsi="宋体" w:cs="宋体"/>
                <w:sz w:val="20"/>
                <w:szCs w:val="20"/>
              </w:rPr>
            </w:pPr>
            <w:r>
              <w:rPr>
                <w:rFonts w:ascii="宋体" w:hAnsi="宋体" w:cs="宋体" w:hint="eastAsia"/>
                <w:color w:val="383838"/>
                <w:sz w:val="20"/>
                <w:szCs w:val="20"/>
                <w:shd w:val="clear" w:color="auto" w:fill="FFFFFF"/>
              </w:rPr>
              <w:t>负责学院后勤服务保障工作。负责学院后勤保障各项设备设施的运行、维护工作和楼宇内相关设备设施的日常维修工作；代表学院对接社会化专业公司签订服务合同，协调、指导、监督、检查社会化专业公司做好学员宿舍服务、餐饮服务、会议服务、设备维保维修服务、保洁绿化服务、报刊快递信件服务等工作；完成学院交办的其它各项工作任务。</w:t>
            </w:r>
          </w:p>
        </w:tc>
      </w:tr>
      <w:tr w:rsidR="00477B5A">
        <w:trPr>
          <w:cantSplit/>
          <w:trHeight w:val="454"/>
          <w:jc w:val="center"/>
        </w:trPr>
        <w:tc>
          <w:tcPr>
            <w:tcW w:w="697"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1</w:t>
            </w:r>
            <w:r w:rsidR="00E01A7B">
              <w:rPr>
                <w:rFonts w:ascii="宋体" w:hAnsi="宋体" w:cs="宋体" w:hint="eastAsia"/>
                <w:sz w:val="20"/>
                <w:szCs w:val="20"/>
              </w:rPr>
              <w:t>1</w:t>
            </w:r>
          </w:p>
        </w:tc>
        <w:tc>
          <w:tcPr>
            <w:tcW w:w="1288"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机关党委</w:t>
            </w:r>
            <w:r>
              <w:rPr>
                <w:rFonts w:ascii="宋体" w:hAnsi="宋体" w:cs="宋体" w:hint="eastAsia"/>
                <w:sz w:val="20"/>
                <w:szCs w:val="20"/>
              </w:rPr>
              <w:t>(</w:t>
            </w:r>
            <w:r>
              <w:rPr>
                <w:rFonts w:ascii="宋体" w:hAnsi="宋体" w:cs="宋体" w:hint="eastAsia"/>
                <w:sz w:val="20"/>
                <w:szCs w:val="20"/>
              </w:rPr>
              <w:t>工会</w:t>
            </w:r>
            <w:r>
              <w:rPr>
                <w:rFonts w:ascii="宋体" w:hAnsi="宋体" w:cs="宋体" w:hint="eastAsia"/>
                <w:sz w:val="20"/>
                <w:szCs w:val="20"/>
              </w:rPr>
              <w:t>)</w:t>
            </w:r>
          </w:p>
        </w:tc>
        <w:tc>
          <w:tcPr>
            <w:tcW w:w="6536" w:type="dxa"/>
            <w:vAlign w:val="center"/>
          </w:tcPr>
          <w:p w:rsidR="00477B5A" w:rsidRDefault="00241D64">
            <w:pPr>
              <w:adjustRightInd w:val="0"/>
              <w:snapToGrid w:val="0"/>
              <w:jc w:val="left"/>
              <w:rPr>
                <w:rFonts w:ascii="宋体" w:hAnsi="宋体" w:cs="宋体"/>
                <w:sz w:val="20"/>
                <w:szCs w:val="20"/>
              </w:rPr>
            </w:pPr>
            <w:r>
              <w:rPr>
                <w:rFonts w:ascii="宋体" w:hAnsi="宋体" w:cs="宋体" w:hint="eastAsia"/>
                <w:color w:val="383838"/>
                <w:sz w:val="20"/>
                <w:szCs w:val="20"/>
                <w:shd w:val="clear" w:color="auto" w:fill="FFFFFF"/>
              </w:rPr>
              <w:t>负责党员管理和党组织建设工作；负责工会组织建设，丰富职工文化生活，做好帮扶、慰问工作；负责干部职工政治思想教育，了解干部职工思想动态，做好思想政治工作；负责纪检监察和党风廉政建设工作；负责按党组要求协助做好党组理论中心组学习的组织工作；负责精神文明建设工作；完成学院交办的其它各项工作任务。</w:t>
            </w:r>
          </w:p>
        </w:tc>
      </w:tr>
    </w:tbl>
    <w:p w:rsidR="00477B5A" w:rsidRDefault="00477B5A">
      <w:pPr>
        <w:adjustRightInd w:val="0"/>
        <w:snapToGrid w:val="0"/>
        <w:spacing w:line="360" w:lineRule="auto"/>
        <w:ind w:firstLineChars="200" w:firstLine="640"/>
        <w:rPr>
          <w:rFonts w:eastAsia="仿宋_GB2312"/>
          <w:sz w:val="32"/>
          <w:szCs w:val="20"/>
        </w:rPr>
      </w:pPr>
    </w:p>
    <w:p w:rsidR="00477B5A" w:rsidRDefault="00241D64">
      <w:pPr>
        <w:adjustRightInd w:val="0"/>
        <w:snapToGrid w:val="0"/>
        <w:spacing w:line="360" w:lineRule="auto"/>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lastRenderedPageBreak/>
        <w:t>北京社院2022年部门决算年末实有人数共计63人，其中参照公务员法管理事业人员39人，非参公事业人员24人。</w:t>
      </w:r>
    </w:p>
    <w:p w:rsidR="00477B5A" w:rsidRDefault="00241D64">
      <w:pPr>
        <w:adjustRightInd w:val="0"/>
        <w:snapToGrid w:val="0"/>
        <w:spacing w:line="360" w:lineRule="auto"/>
        <w:ind w:firstLineChars="200" w:firstLine="640"/>
        <w:rPr>
          <w:rFonts w:ascii="仿宋_GB2312" w:eastAsia="仿宋_GB2312" w:hAnsi="仿宋_GB2312" w:cs="仿宋_GB2312"/>
          <w:bCs/>
          <w:sz w:val="32"/>
          <w:szCs w:val="32"/>
        </w:rPr>
      </w:pPr>
      <w:bookmarkStart w:id="9" w:name="_Toc72438998"/>
      <w:bookmarkStart w:id="10" w:name="_Toc72438577"/>
      <w:bookmarkStart w:id="11" w:name="_Toc102158217"/>
      <w:bookmarkStart w:id="12" w:name="_Toc9582"/>
      <w:bookmarkStart w:id="13" w:name="_Toc102140636"/>
      <w:r>
        <w:rPr>
          <w:rFonts w:ascii="仿宋_GB2312" w:eastAsia="仿宋_GB2312" w:hAnsi="仿宋_GB2312" w:cs="仿宋_GB2312" w:hint="eastAsia"/>
          <w:bCs/>
          <w:sz w:val="32"/>
          <w:szCs w:val="32"/>
        </w:rPr>
        <w:t>3.</w:t>
      </w:r>
      <w:bookmarkEnd w:id="9"/>
      <w:bookmarkEnd w:id="10"/>
      <w:r>
        <w:rPr>
          <w:rFonts w:ascii="仿宋_GB2312" w:eastAsia="仿宋_GB2312" w:hAnsi="仿宋_GB2312" w:cs="仿宋_GB2312" w:hint="eastAsia"/>
          <w:bCs/>
          <w:sz w:val="32"/>
          <w:szCs w:val="32"/>
        </w:rPr>
        <w:t>工作任务情况</w:t>
      </w:r>
      <w:bookmarkEnd w:id="11"/>
      <w:bookmarkEnd w:id="12"/>
      <w:bookmarkEnd w:id="13"/>
    </w:p>
    <w:p w:rsidR="00477B5A" w:rsidRDefault="00241D64">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北京社院制定了2022年度工作任务计划，围绕加强全面领导、深化教学改革、提升科研学术水平、提速文化统战工作、稳定开放办学格局、优化人才队伍建设、提高学院治理水平等7个方面制定了工作重点，具体内容如下：</w:t>
      </w:r>
    </w:p>
    <w:p w:rsidR="00477B5A" w:rsidRDefault="00477B5A"/>
    <w:p w:rsidR="00477B5A" w:rsidRDefault="00477B5A"/>
    <w:p w:rsidR="00477B5A" w:rsidRDefault="00477B5A">
      <w:pPr>
        <w:adjustRightInd w:val="0"/>
        <w:snapToGrid w:val="0"/>
        <w:spacing w:line="360" w:lineRule="auto"/>
        <w:jc w:val="center"/>
        <w:rPr>
          <w:rFonts w:eastAsia="黑体"/>
          <w:color w:val="000000"/>
          <w:sz w:val="28"/>
          <w:szCs w:val="28"/>
        </w:rPr>
      </w:pPr>
    </w:p>
    <w:p w:rsidR="00477B5A" w:rsidRDefault="00477B5A">
      <w:pPr>
        <w:adjustRightInd w:val="0"/>
        <w:snapToGrid w:val="0"/>
        <w:spacing w:line="360" w:lineRule="auto"/>
        <w:jc w:val="center"/>
        <w:rPr>
          <w:rFonts w:eastAsia="黑体"/>
          <w:color w:val="000000"/>
          <w:sz w:val="28"/>
          <w:szCs w:val="28"/>
        </w:rPr>
      </w:pPr>
    </w:p>
    <w:p w:rsidR="00477B5A" w:rsidRDefault="00241D64">
      <w:pPr>
        <w:adjustRightInd w:val="0"/>
        <w:snapToGrid w:val="0"/>
        <w:spacing w:line="360" w:lineRule="auto"/>
        <w:jc w:val="center"/>
        <w:rPr>
          <w:rFonts w:ascii="黑体" w:eastAsia="黑体" w:hAnsi="黑体" w:cs="黑体"/>
          <w:color w:val="000000"/>
          <w:sz w:val="28"/>
          <w:szCs w:val="28"/>
        </w:rPr>
      </w:pPr>
      <w:r>
        <w:rPr>
          <w:rFonts w:ascii="黑体" w:eastAsia="黑体" w:hAnsi="黑体" w:cs="黑体" w:hint="eastAsia"/>
          <w:color w:val="000000"/>
          <w:sz w:val="28"/>
          <w:szCs w:val="28"/>
        </w:rPr>
        <w:t>表2：北京社院2022年度部门主要工作任务表</w:t>
      </w:r>
    </w:p>
    <w:tbl>
      <w:tblPr>
        <w:tblW w:w="5000" w:type="pct"/>
        <w:tblLayout w:type="fixed"/>
        <w:tblLook w:val="04A0"/>
      </w:tblPr>
      <w:tblGrid>
        <w:gridCol w:w="646"/>
        <w:gridCol w:w="1761"/>
        <w:gridCol w:w="6115"/>
      </w:tblGrid>
      <w:tr w:rsidR="00477B5A">
        <w:trPr>
          <w:cantSplit/>
          <w:trHeight w:val="454"/>
          <w:tblHeader/>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序号</w:t>
            </w:r>
          </w:p>
        </w:tc>
        <w:tc>
          <w:tcPr>
            <w:tcW w:w="10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工作任务</w:t>
            </w:r>
          </w:p>
        </w:tc>
        <w:tc>
          <w:tcPr>
            <w:tcW w:w="35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主要内容</w:t>
            </w:r>
          </w:p>
        </w:tc>
      </w:tr>
      <w:tr w:rsidR="00477B5A">
        <w:trPr>
          <w:cantSplit/>
          <w:trHeight w:val="454"/>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10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383838"/>
                <w:sz w:val="20"/>
                <w:szCs w:val="20"/>
                <w:shd w:val="clear" w:color="auto" w:fill="FFFFFF"/>
              </w:rPr>
              <w:t>党对学院的全面领导进一步加强</w:t>
            </w:r>
          </w:p>
        </w:tc>
        <w:tc>
          <w:tcPr>
            <w:tcW w:w="3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textAlignment w:val="center"/>
              <w:rPr>
                <w:rFonts w:ascii="宋体" w:hAnsi="宋体" w:cs="宋体"/>
                <w:color w:val="000000"/>
                <w:sz w:val="20"/>
                <w:szCs w:val="20"/>
              </w:rPr>
            </w:pPr>
            <w:r>
              <w:rPr>
                <w:rFonts w:ascii="宋体" w:hAnsi="宋体" w:cs="宋体" w:hint="eastAsia"/>
                <w:color w:val="383838"/>
                <w:sz w:val="20"/>
                <w:szCs w:val="20"/>
                <w:shd w:val="clear" w:color="auto" w:fill="FFFFFF"/>
              </w:rPr>
              <w:t>认真贯彻中央市委决策部署，牢牢把握中国特色社会主义方向，积极探索新时代办学治院规律，以政治建设为统领全面推进党的建设。</w:t>
            </w:r>
          </w:p>
        </w:tc>
      </w:tr>
      <w:tr w:rsidR="00477B5A">
        <w:trPr>
          <w:cantSplit/>
          <w:trHeight w:val="454"/>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c>
          <w:tcPr>
            <w:tcW w:w="10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383838"/>
                <w:sz w:val="20"/>
                <w:szCs w:val="20"/>
                <w:shd w:val="clear" w:color="auto" w:fill="FFFFFF"/>
              </w:rPr>
              <w:t>统一战线人才教育培养主阵地作用进一步强化</w:t>
            </w:r>
          </w:p>
        </w:tc>
        <w:tc>
          <w:tcPr>
            <w:tcW w:w="3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textAlignment w:val="center"/>
              <w:rPr>
                <w:rFonts w:ascii="宋体" w:hAnsi="宋体" w:cs="宋体"/>
                <w:color w:val="000000"/>
                <w:kern w:val="0"/>
                <w:sz w:val="20"/>
                <w:szCs w:val="20"/>
                <w:lang/>
              </w:rPr>
            </w:pPr>
            <w:r>
              <w:rPr>
                <w:rFonts w:ascii="宋体" w:hAnsi="宋体" w:cs="宋体" w:hint="eastAsia"/>
                <w:color w:val="383838"/>
                <w:sz w:val="20"/>
                <w:szCs w:val="20"/>
                <w:shd w:val="clear" w:color="auto" w:fill="FFFFFF"/>
              </w:rPr>
              <w:t>持续深化教学改革，优化教学布局，教育培训体系和机制不断完善健全，教育培训的时代性、针对性、有效性显著增强。</w:t>
            </w:r>
          </w:p>
        </w:tc>
      </w:tr>
      <w:tr w:rsidR="00477B5A">
        <w:trPr>
          <w:cantSplit/>
          <w:trHeight w:val="454"/>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c>
          <w:tcPr>
            <w:tcW w:w="10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383838"/>
                <w:sz w:val="20"/>
                <w:szCs w:val="20"/>
                <w:shd w:val="clear" w:color="auto" w:fill="FFFFFF"/>
              </w:rPr>
              <w:t>科研学术水平进一步提升</w:t>
            </w:r>
          </w:p>
        </w:tc>
        <w:tc>
          <w:tcPr>
            <w:tcW w:w="3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textAlignment w:val="center"/>
              <w:rPr>
                <w:rFonts w:ascii="宋体" w:hAnsi="宋体" w:cs="宋体"/>
                <w:color w:val="000000"/>
                <w:kern w:val="0"/>
                <w:sz w:val="20"/>
                <w:szCs w:val="20"/>
                <w:lang/>
              </w:rPr>
            </w:pPr>
            <w:r>
              <w:rPr>
                <w:rFonts w:ascii="宋体" w:hAnsi="宋体" w:cs="宋体" w:hint="eastAsia"/>
                <w:color w:val="383838"/>
                <w:sz w:val="20"/>
                <w:szCs w:val="20"/>
                <w:shd w:val="clear" w:color="auto" w:fill="FFFFFF"/>
              </w:rPr>
              <w:t>优化科研体制机制，挖掘凝聚学术资源，理论研究和资政能力显著增强，形成定位清晰、方向明确、特色明显、成果优异的统战理论研究基地。</w:t>
            </w:r>
          </w:p>
        </w:tc>
      </w:tr>
      <w:tr w:rsidR="00477B5A">
        <w:trPr>
          <w:cantSplit/>
          <w:trHeight w:val="454"/>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c>
          <w:tcPr>
            <w:tcW w:w="10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383838"/>
                <w:sz w:val="20"/>
                <w:szCs w:val="20"/>
                <w:shd w:val="clear" w:color="auto" w:fill="FFFFFF"/>
              </w:rPr>
              <w:t>文化统战工作进一步提速</w:t>
            </w:r>
          </w:p>
        </w:tc>
        <w:tc>
          <w:tcPr>
            <w:tcW w:w="3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textAlignment w:val="center"/>
              <w:rPr>
                <w:rFonts w:ascii="宋体" w:hAnsi="宋体" w:cs="宋体"/>
                <w:color w:val="000000"/>
                <w:kern w:val="0"/>
                <w:sz w:val="20"/>
                <w:szCs w:val="20"/>
                <w:lang/>
              </w:rPr>
            </w:pPr>
            <w:r>
              <w:rPr>
                <w:rFonts w:ascii="宋体" w:hAnsi="宋体" w:cs="宋体" w:hint="eastAsia"/>
                <w:color w:val="383838"/>
                <w:sz w:val="20"/>
                <w:szCs w:val="20"/>
                <w:shd w:val="clear" w:color="auto" w:fill="FFFFFF"/>
              </w:rPr>
              <w:t>充实师资队伍，打造水平优良的文化统战工作队伍。提高文化工作项目层次，打造品牌。完善工作机制，文化交流常态化、连贯性。</w:t>
            </w:r>
          </w:p>
        </w:tc>
      </w:tr>
      <w:tr w:rsidR="00477B5A">
        <w:trPr>
          <w:cantSplit/>
          <w:trHeight w:val="454"/>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p>
        </w:tc>
        <w:tc>
          <w:tcPr>
            <w:tcW w:w="10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383838"/>
                <w:sz w:val="20"/>
                <w:szCs w:val="20"/>
                <w:shd w:val="clear" w:color="auto" w:fill="FFFFFF"/>
              </w:rPr>
              <w:t>开放办学格局进一步稳定</w:t>
            </w:r>
          </w:p>
        </w:tc>
        <w:tc>
          <w:tcPr>
            <w:tcW w:w="3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textAlignment w:val="center"/>
              <w:rPr>
                <w:rFonts w:ascii="宋体" w:hAnsi="宋体" w:cs="宋体"/>
                <w:color w:val="000000"/>
                <w:kern w:val="0"/>
                <w:sz w:val="20"/>
                <w:szCs w:val="20"/>
                <w:lang/>
              </w:rPr>
            </w:pPr>
            <w:r>
              <w:rPr>
                <w:rFonts w:ascii="宋体" w:hAnsi="宋体" w:cs="宋体" w:hint="eastAsia"/>
                <w:color w:val="383838"/>
                <w:sz w:val="20"/>
                <w:szCs w:val="20"/>
                <w:shd w:val="clear" w:color="auto" w:fill="FFFFFF"/>
              </w:rPr>
              <w:t>健全联合办学机制，完善市区社院整体协作机制，深化与相关领域、部门交流合作，办学水平和影响力显著提升。</w:t>
            </w:r>
          </w:p>
        </w:tc>
      </w:tr>
      <w:tr w:rsidR="00477B5A">
        <w:trPr>
          <w:cantSplit/>
          <w:trHeight w:val="454"/>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6</w:t>
            </w:r>
          </w:p>
        </w:tc>
        <w:tc>
          <w:tcPr>
            <w:tcW w:w="10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383838"/>
                <w:sz w:val="20"/>
                <w:szCs w:val="20"/>
                <w:shd w:val="clear" w:color="auto" w:fill="FFFFFF"/>
              </w:rPr>
              <w:t>人才队伍建设进一步优化</w:t>
            </w:r>
          </w:p>
        </w:tc>
        <w:tc>
          <w:tcPr>
            <w:tcW w:w="3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textAlignment w:val="center"/>
              <w:rPr>
                <w:rFonts w:ascii="宋体" w:hAnsi="宋体" w:cs="宋体"/>
                <w:color w:val="000000"/>
                <w:kern w:val="0"/>
                <w:sz w:val="20"/>
                <w:szCs w:val="20"/>
                <w:lang/>
              </w:rPr>
            </w:pPr>
            <w:r>
              <w:rPr>
                <w:rFonts w:ascii="宋体" w:hAnsi="宋体" w:cs="宋体" w:hint="eastAsia"/>
                <w:color w:val="383838"/>
                <w:sz w:val="20"/>
                <w:szCs w:val="20"/>
                <w:shd w:val="clear" w:color="auto" w:fill="FFFFFF"/>
              </w:rPr>
              <w:t>坚持正确用人导向，健全人才培养、引进、激励机制，扩大专职教师规模，形成科学合理的人才梯队和高素质干部职工队伍。</w:t>
            </w:r>
          </w:p>
        </w:tc>
      </w:tr>
      <w:tr w:rsidR="00477B5A">
        <w:trPr>
          <w:cantSplit/>
          <w:trHeight w:val="454"/>
        </w:trPr>
        <w:tc>
          <w:tcPr>
            <w:tcW w:w="3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7</w:t>
            </w:r>
          </w:p>
        </w:tc>
        <w:tc>
          <w:tcPr>
            <w:tcW w:w="10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383838"/>
                <w:sz w:val="20"/>
                <w:szCs w:val="20"/>
                <w:shd w:val="clear" w:color="auto" w:fill="FFFFFF"/>
              </w:rPr>
              <w:t>学院治理水平进一步提高</w:t>
            </w:r>
          </w:p>
        </w:tc>
        <w:tc>
          <w:tcPr>
            <w:tcW w:w="3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textAlignment w:val="center"/>
              <w:rPr>
                <w:rFonts w:ascii="宋体" w:hAnsi="宋体" w:cs="宋体"/>
                <w:color w:val="000000"/>
                <w:kern w:val="0"/>
                <w:sz w:val="20"/>
                <w:szCs w:val="20"/>
                <w:lang/>
              </w:rPr>
            </w:pPr>
            <w:r>
              <w:rPr>
                <w:rFonts w:ascii="宋体" w:hAnsi="宋体" w:cs="宋体" w:hint="eastAsia"/>
                <w:color w:val="383838"/>
                <w:sz w:val="20"/>
                <w:szCs w:val="20"/>
                <w:shd w:val="clear" w:color="auto" w:fill="FFFFFF"/>
              </w:rPr>
              <w:t>不断完善管理体制机制，工作运行实现职责明确、规范有力、效能显著，智慧社院建设取得实效，办学支撑保障能力显著增强</w:t>
            </w:r>
            <w:r>
              <w:rPr>
                <w:rFonts w:ascii="宋体" w:hAnsi="宋体" w:cs="宋体" w:hint="eastAsia"/>
                <w:color w:val="000000"/>
                <w:kern w:val="0"/>
                <w:sz w:val="20"/>
                <w:szCs w:val="20"/>
                <w:lang/>
              </w:rPr>
              <w:t>。</w:t>
            </w:r>
          </w:p>
        </w:tc>
      </w:tr>
    </w:tbl>
    <w:p w:rsidR="00477B5A" w:rsidRDefault="00477B5A">
      <w:pPr>
        <w:adjustRightInd w:val="0"/>
        <w:snapToGrid w:val="0"/>
        <w:spacing w:line="360" w:lineRule="auto"/>
        <w:rPr>
          <w:sz w:val="32"/>
        </w:rPr>
      </w:pPr>
    </w:p>
    <w:p w:rsidR="00477B5A" w:rsidRDefault="00241D64">
      <w:pPr>
        <w:adjustRightInd w:val="0"/>
        <w:snapToGrid w:val="0"/>
        <w:spacing w:line="360" w:lineRule="auto"/>
        <w:ind w:firstLineChars="200" w:firstLine="640"/>
        <w:outlineLvl w:val="1"/>
        <w:rPr>
          <w:rFonts w:eastAsia="楷体_GB2312"/>
          <w:sz w:val="32"/>
          <w:szCs w:val="32"/>
        </w:rPr>
      </w:pPr>
      <w:bookmarkStart w:id="14" w:name="_Toc24853"/>
      <w:bookmarkStart w:id="15" w:name="_Toc17393"/>
      <w:r>
        <w:rPr>
          <w:rFonts w:eastAsia="楷体_GB2312" w:hint="eastAsia"/>
          <w:sz w:val="32"/>
          <w:szCs w:val="32"/>
        </w:rPr>
        <w:t>（二）部门整体绩效目标设立情况</w:t>
      </w:r>
      <w:bookmarkEnd w:id="14"/>
      <w:bookmarkEnd w:id="15"/>
    </w:p>
    <w:p w:rsidR="00477B5A" w:rsidRDefault="00241D64">
      <w:pPr>
        <w:pStyle w:val="3"/>
        <w:adjustRightInd w:val="0"/>
        <w:snapToGrid w:val="0"/>
        <w:spacing w:line="360" w:lineRule="auto"/>
        <w:ind w:leftChars="0" w:left="0" w:firstLineChars="200" w:firstLine="640"/>
        <w:outlineLvl w:val="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1.绩效目标设立依据</w:t>
      </w:r>
    </w:p>
    <w:p w:rsidR="00477B5A" w:rsidRDefault="00241D6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北京社院部门整体绩效目标设置立足于《</w:t>
      </w:r>
      <w:r>
        <w:rPr>
          <w:rFonts w:ascii="仿宋_GB2312" w:eastAsia="仿宋_GB2312" w:hAnsi="仿宋_GB2312" w:cs="仿宋_GB2312" w:hint="eastAsia"/>
          <w:bCs/>
          <w:sz w:val="32"/>
          <w:szCs w:val="32"/>
        </w:rPr>
        <w:t>社会主义学院</w:t>
      </w:r>
      <w:r>
        <w:rPr>
          <w:rFonts w:ascii="仿宋_GB2312" w:eastAsia="仿宋_GB2312" w:hAnsi="仿宋_GB2312" w:cs="仿宋_GB2312" w:hint="eastAsia"/>
          <w:bCs/>
          <w:sz w:val="32"/>
          <w:szCs w:val="32"/>
        </w:rPr>
        <w:lastRenderedPageBreak/>
        <w:t>工作条例》</w:t>
      </w:r>
      <w:r>
        <w:rPr>
          <w:rFonts w:ascii="仿宋_GB2312" w:eastAsia="仿宋_GB2312" w:hAnsi="仿宋_GB2312" w:cs="仿宋_GB2312" w:hint="eastAsia"/>
          <w:color w:val="000000"/>
          <w:sz w:val="32"/>
          <w:szCs w:val="32"/>
        </w:rPr>
        <w:t>《中共中央关于加强新形势下党外代表人士队伍建设的意见》《中共北京市委关于加强和改进新时代社会主义学院工作的意见》中有关全面加强党外代表人士的教育培养，促进北京社院工作科学化制度化规范化，加强发挥北京社院统一战线人才教育培养、理论研究、方针政策宣传职能作用的要求与精神设定。与北京社院“是中国共产党领导的统一战线性质的政治学院，是民主党派和无党派人士的联合党校，是统一战线人才教育培养的主阵地，是开展党的统一战线工作的重要部门，是党和国家干部教育培训体系的重要组成部分”的职责定位相符，综上，绩效目标设立依据充分。</w:t>
      </w:r>
    </w:p>
    <w:p w:rsidR="00477B5A" w:rsidRDefault="00241D64">
      <w:pPr>
        <w:adjustRightInd w:val="0"/>
        <w:snapToGrid w:val="0"/>
        <w:spacing w:line="360" w:lineRule="auto"/>
        <w:ind w:firstLineChars="200" w:firstLine="640"/>
        <w:outlineLvl w:val="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2.绩效目标与职责任务匹配情况</w:t>
      </w:r>
    </w:p>
    <w:p w:rsidR="00477B5A" w:rsidRDefault="00241D6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北京社院2022年度部门整体绩效目标围绕部门职能及2022年度工作计划设置，部门整体绩效目标设置与单位职责履行、年度工作任务较为相符，绩效目标与部门职责及年度主要工作匹配情况如下：</w:t>
      </w:r>
    </w:p>
    <w:p w:rsidR="00477B5A" w:rsidRDefault="00241D64">
      <w:pPr>
        <w:adjustRightInd w:val="0"/>
        <w:snapToGrid w:val="0"/>
        <w:spacing w:line="360" w:lineRule="auto"/>
        <w:jc w:val="center"/>
        <w:rPr>
          <w:rFonts w:ascii="黑体" w:eastAsia="黑体" w:hAnsi="黑体" w:cs="黑体"/>
          <w:bCs/>
          <w:sz w:val="28"/>
          <w:szCs w:val="28"/>
        </w:rPr>
      </w:pPr>
      <w:r>
        <w:rPr>
          <w:rFonts w:ascii="黑体" w:eastAsia="黑体" w:hAnsi="黑体" w:cs="黑体" w:hint="eastAsia"/>
          <w:color w:val="000000"/>
          <w:sz w:val="28"/>
          <w:szCs w:val="28"/>
        </w:rPr>
        <w:t>表3：2022年度北京社院部门整体绩效目标与职责及年度任务对应情况表</w:t>
      </w:r>
    </w:p>
    <w:tbl>
      <w:tblPr>
        <w:tblStyle w:val="ab"/>
        <w:tblW w:w="4998" w:type="pct"/>
        <w:jc w:val="center"/>
        <w:tblLook w:val="04A0"/>
      </w:tblPr>
      <w:tblGrid>
        <w:gridCol w:w="3435"/>
        <w:gridCol w:w="1603"/>
        <w:gridCol w:w="3481"/>
      </w:tblGrid>
      <w:tr w:rsidR="00477B5A">
        <w:trPr>
          <w:cantSplit/>
          <w:trHeight w:val="454"/>
          <w:tblHeader/>
          <w:jc w:val="center"/>
        </w:trPr>
        <w:tc>
          <w:tcPr>
            <w:tcW w:w="2015" w:type="pct"/>
            <w:vAlign w:val="center"/>
          </w:tcPr>
          <w:p w:rsidR="00477B5A" w:rsidRDefault="00241D64">
            <w:pPr>
              <w:adjustRightInd w:val="0"/>
              <w:snapToGrid w:val="0"/>
              <w:jc w:val="center"/>
              <w:rPr>
                <w:rFonts w:ascii="宋体" w:hAnsi="宋体" w:cs="宋体"/>
                <w:b/>
                <w:bCs/>
                <w:sz w:val="20"/>
                <w:szCs w:val="20"/>
              </w:rPr>
            </w:pPr>
            <w:r>
              <w:rPr>
                <w:rFonts w:ascii="宋体" w:hAnsi="宋体" w:cs="宋体" w:hint="eastAsia"/>
                <w:b/>
                <w:bCs/>
                <w:sz w:val="20"/>
                <w:szCs w:val="20"/>
              </w:rPr>
              <w:t>职责</w:t>
            </w:r>
          </w:p>
        </w:tc>
        <w:tc>
          <w:tcPr>
            <w:tcW w:w="941" w:type="pct"/>
            <w:vAlign w:val="center"/>
          </w:tcPr>
          <w:p w:rsidR="00477B5A" w:rsidRDefault="00241D64">
            <w:pPr>
              <w:adjustRightInd w:val="0"/>
              <w:snapToGrid w:val="0"/>
              <w:jc w:val="center"/>
              <w:rPr>
                <w:rFonts w:ascii="宋体" w:hAnsi="宋体" w:cs="宋体"/>
                <w:b/>
                <w:bCs/>
                <w:sz w:val="20"/>
                <w:szCs w:val="20"/>
              </w:rPr>
            </w:pPr>
            <w:r>
              <w:rPr>
                <w:rFonts w:ascii="宋体" w:hAnsi="宋体" w:cs="宋体" w:hint="eastAsia"/>
                <w:b/>
                <w:bCs/>
                <w:sz w:val="20"/>
                <w:szCs w:val="20"/>
              </w:rPr>
              <w:t>年度任务</w:t>
            </w:r>
          </w:p>
        </w:tc>
        <w:tc>
          <w:tcPr>
            <w:tcW w:w="2042" w:type="pct"/>
            <w:vAlign w:val="center"/>
          </w:tcPr>
          <w:p w:rsidR="00477B5A" w:rsidRDefault="00241D64">
            <w:pPr>
              <w:adjustRightInd w:val="0"/>
              <w:snapToGrid w:val="0"/>
              <w:jc w:val="center"/>
              <w:rPr>
                <w:rFonts w:ascii="宋体" w:hAnsi="宋体" w:cs="宋体"/>
                <w:b/>
                <w:bCs/>
                <w:sz w:val="20"/>
                <w:szCs w:val="20"/>
              </w:rPr>
            </w:pPr>
            <w:r>
              <w:rPr>
                <w:rFonts w:ascii="宋体" w:hAnsi="宋体" w:cs="宋体" w:hint="eastAsia"/>
                <w:b/>
                <w:bCs/>
                <w:sz w:val="20"/>
                <w:szCs w:val="20"/>
              </w:rPr>
              <w:t>绩效目标</w:t>
            </w:r>
          </w:p>
        </w:tc>
      </w:tr>
      <w:tr w:rsidR="00477B5A">
        <w:trPr>
          <w:cantSplit/>
          <w:trHeight w:val="454"/>
          <w:jc w:val="center"/>
        </w:trPr>
        <w:tc>
          <w:tcPr>
            <w:tcW w:w="2015" w:type="pct"/>
            <w:vAlign w:val="center"/>
          </w:tcPr>
          <w:p w:rsidR="00477B5A" w:rsidRDefault="00241D64">
            <w:pPr>
              <w:adjustRightInd w:val="0"/>
              <w:snapToGrid w:val="0"/>
              <w:jc w:val="left"/>
              <w:rPr>
                <w:rFonts w:ascii="宋体" w:hAnsi="宋体" w:cs="宋体"/>
                <w:sz w:val="20"/>
                <w:szCs w:val="20"/>
                <w:highlight w:val="yellow"/>
              </w:rPr>
            </w:pPr>
            <w:r>
              <w:rPr>
                <w:rFonts w:ascii="宋体" w:hAnsi="宋体" w:cs="宋体" w:hint="eastAsia"/>
                <w:color w:val="383838"/>
                <w:sz w:val="20"/>
                <w:szCs w:val="20"/>
                <w:shd w:val="clear" w:color="auto" w:fill="FFFFFF"/>
              </w:rPr>
              <w:t>培训民主党派和无党派人士、统一战线其他领域代表人士，培训统战干部，培养统一战线理论研究人才，承办党委和政府举办的有关专题研讨班。</w:t>
            </w:r>
          </w:p>
        </w:tc>
        <w:tc>
          <w:tcPr>
            <w:tcW w:w="941" w:type="pct"/>
            <w:vAlign w:val="center"/>
          </w:tcPr>
          <w:p w:rsidR="00477B5A" w:rsidRDefault="00241D64">
            <w:pPr>
              <w:adjustRightInd w:val="0"/>
              <w:snapToGrid w:val="0"/>
              <w:jc w:val="left"/>
              <w:rPr>
                <w:rFonts w:ascii="宋体" w:hAnsi="宋体" w:cs="宋体"/>
                <w:sz w:val="20"/>
                <w:szCs w:val="20"/>
              </w:rPr>
            </w:pPr>
            <w:r>
              <w:rPr>
                <w:rFonts w:ascii="宋体" w:hAnsi="宋体" w:cs="宋体" w:hint="eastAsia"/>
                <w:sz w:val="20"/>
                <w:szCs w:val="20"/>
              </w:rPr>
              <w:t>统一战线人才教育培养主阵地作用进一步强化</w:t>
            </w:r>
            <w:r>
              <w:rPr>
                <w:rFonts w:ascii="宋体" w:hAnsi="宋体" w:cs="宋体" w:hint="eastAsia"/>
                <w:sz w:val="20"/>
                <w:szCs w:val="20"/>
              </w:rPr>
              <w:t xml:space="preserve"> </w:t>
            </w:r>
            <w:r>
              <w:rPr>
                <w:rFonts w:ascii="宋体" w:hAnsi="宋体" w:cs="宋体" w:hint="eastAsia"/>
                <w:sz w:val="20"/>
                <w:szCs w:val="20"/>
              </w:rPr>
              <w:t>，人才队伍建设进一步优化</w:t>
            </w:r>
          </w:p>
        </w:tc>
        <w:tc>
          <w:tcPr>
            <w:tcW w:w="2042" w:type="pct"/>
            <w:vAlign w:val="center"/>
          </w:tcPr>
          <w:p w:rsidR="00477B5A" w:rsidRDefault="00241D64">
            <w:pPr>
              <w:pStyle w:val="3"/>
              <w:adjustRightInd w:val="0"/>
              <w:snapToGrid w:val="0"/>
              <w:ind w:leftChars="0" w:left="0"/>
              <w:rPr>
                <w:rFonts w:ascii="宋体" w:hAnsi="宋体" w:cs="宋体"/>
                <w:sz w:val="20"/>
                <w:szCs w:val="20"/>
              </w:rPr>
            </w:pPr>
            <w:r>
              <w:rPr>
                <w:rFonts w:ascii="宋体" w:hAnsi="宋体" w:cs="宋体" w:hint="eastAsia"/>
                <w:sz w:val="20"/>
                <w:szCs w:val="20"/>
              </w:rPr>
              <w:t>1.</w:t>
            </w:r>
            <w:r>
              <w:rPr>
                <w:rFonts w:ascii="宋体" w:hAnsi="宋体" w:cs="宋体" w:hint="eastAsia"/>
                <w:sz w:val="20"/>
                <w:szCs w:val="20"/>
              </w:rPr>
              <w:t>统一战线教育培训人次</w:t>
            </w:r>
            <w:r>
              <w:rPr>
                <w:rFonts w:ascii="宋体" w:hAnsi="宋体" w:cs="宋体" w:hint="eastAsia"/>
                <w:sz w:val="20"/>
                <w:szCs w:val="20"/>
              </w:rPr>
              <w:t>3590</w:t>
            </w:r>
            <w:r>
              <w:rPr>
                <w:rFonts w:ascii="宋体" w:hAnsi="宋体" w:cs="宋体" w:hint="eastAsia"/>
                <w:sz w:val="20"/>
                <w:szCs w:val="20"/>
              </w:rPr>
              <w:t>人次，培训天数</w:t>
            </w:r>
            <w:r>
              <w:rPr>
                <w:rFonts w:ascii="宋体" w:hAnsi="宋体" w:cs="宋体" w:hint="eastAsia"/>
                <w:sz w:val="20"/>
                <w:szCs w:val="20"/>
              </w:rPr>
              <w:t>292</w:t>
            </w:r>
            <w:r>
              <w:rPr>
                <w:rFonts w:ascii="宋体" w:hAnsi="宋体" w:cs="宋体" w:hint="eastAsia"/>
                <w:sz w:val="20"/>
                <w:szCs w:val="20"/>
              </w:rPr>
              <w:t>天；</w:t>
            </w:r>
          </w:p>
          <w:p w:rsidR="00477B5A" w:rsidRDefault="00241D64">
            <w:pPr>
              <w:pStyle w:val="3"/>
              <w:adjustRightInd w:val="0"/>
              <w:snapToGrid w:val="0"/>
              <w:ind w:leftChars="0" w:left="0"/>
              <w:rPr>
                <w:rFonts w:ascii="宋体" w:hAnsi="宋体" w:cs="宋体"/>
                <w:sz w:val="20"/>
                <w:szCs w:val="20"/>
              </w:rPr>
            </w:pPr>
            <w:r>
              <w:rPr>
                <w:rFonts w:ascii="宋体" w:hAnsi="宋体" w:cs="宋体" w:hint="eastAsia"/>
                <w:sz w:val="20"/>
                <w:szCs w:val="20"/>
              </w:rPr>
              <w:t>2.</w:t>
            </w:r>
            <w:r>
              <w:rPr>
                <w:rFonts w:ascii="宋体" w:hAnsi="宋体" w:cs="宋体" w:hint="eastAsia"/>
                <w:sz w:val="20"/>
                <w:szCs w:val="20"/>
              </w:rPr>
              <w:t>进行课程模块开发，形成主题课程</w:t>
            </w:r>
            <w:r>
              <w:rPr>
                <w:rFonts w:ascii="宋体" w:hAnsi="宋体" w:cs="宋体" w:hint="eastAsia"/>
                <w:sz w:val="20"/>
                <w:szCs w:val="20"/>
              </w:rPr>
              <w:t>10</w:t>
            </w:r>
            <w:r>
              <w:rPr>
                <w:rFonts w:ascii="宋体" w:hAnsi="宋体" w:cs="宋体" w:hint="eastAsia"/>
                <w:sz w:val="20"/>
                <w:szCs w:val="20"/>
              </w:rPr>
              <w:t>门，使学员深化相关领域的认知、提升相关能力。</w:t>
            </w:r>
          </w:p>
        </w:tc>
      </w:tr>
      <w:tr w:rsidR="00477B5A">
        <w:trPr>
          <w:cantSplit/>
          <w:trHeight w:val="454"/>
          <w:jc w:val="center"/>
        </w:trPr>
        <w:tc>
          <w:tcPr>
            <w:tcW w:w="2015" w:type="pct"/>
            <w:vAlign w:val="center"/>
          </w:tcPr>
          <w:p w:rsidR="00477B5A" w:rsidRDefault="00241D64">
            <w:pPr>
              <w:adjustRightInd w:val="0"/>
              <w:snapToGrid w:val="0"/>
              <w:jc w:val="left"/>
              <w:rPr>
                <w:rFonts w:ascii="宋体" w:hAnsi="宋体" w:cs="宋体"/>
                <w:sz w:val="20"/>
                <w:szCs w:val="20"/>
                <w:highlight w:val="yellow"/>
              </w:rPr>
            </w:pPr>
            <w:r>
              <w:rPr>
                <w:rFonts w:ascii="宋体" w:hAnsi="宋体" w:cs="宋体" w:hint="eastAsia"/>
                <w:color w:val="383838"/>
                <w:sz w:val="20"/>
                <w:szCs w:val="20"/>
                <w:shd w:val="clear" w:color="auto" w:fill="FFFFFF"/>
              </w:rPr>
              <w:lastRenderedPageBreak/>
              <w:t>组织开展马克思列宁主义、毛泽东思想、邓小平理论、“三个代表”重要思想、科学发展观、习近平新时代中国特色社会主义思想，以及党的统一战线理论和方针政策的研究和宣传，推进理论创新。组织开展决策咨询工作，为党委和政府决策服务。</w:t>
            </w:r>
          </w:p>
        </w:tc>
        <w:tc>
          <w:tcPr>
            <w:tcW w:w="941" w:type="pct"/>
            <w:vAlign w:val="center"/>
          </w:tcPr>
          <w:p w:rsidR="00477B5A" w:rsidRDefault="00241D64">
            <w:pPr>
              <w:adjustRightInd w:val="0"/>
              <w:snapToGrid w:val="0"/>
              <w:jc w:val="left"/>
              <w:rPr>
                <w:rFonts w:ascii="宋体" w:hAnsi="宋体" w:cs="宋体"/>
                <w:sz w:val="20"/>
                <w:szCs w:val="20"/>
              </w:rPr>
            </w:pPr>
            <w:r>
              <w:rPr>
                <w:rFonts w:ascii="宋体" w:hAnsi="宋体" w:cs="宋体" w:hint="eastAsia"/>
                <w:color w:val="383838"/>
                <w:sz w:val="20"/>
                <w:szCs w:val="20"/>
                <w:shd w:val="clear" w:color="auto" w:fill="FFFFFF"/>
              </w:rPr>
              <w:t>科研学术水平进一步提升，党对学院的全面领导进一步加强</w:t>
            </w:r>
          </w:p>
        </w:tc>
        <w:tc>
          <w:tcPr>
            <w:tcW w:w="2042" w:type="pct"/>
            <w:vAlign w:val="center"/>
          </w:tcPr>
          <w:p w:rsidR="00477B5A" w:rsidRDefault="00241D64">
            <w:pPr>
              <w:pStyle w:val="3"/>
              <w:numPr>
                <w:ilvl w:val="255"/>
                <w:numId w:val="0"/>
              </w:numPr>
              <w:adjustRightInd w:val="0"/>
              <w:snapToGrid w:val="0"/>
              <w:rPr>
                <w:rFonts w:ascii="宋体" w:hAnsi="宋体" w:cs="宋体"/>
                <w:sz w:val="20"/>
                <w:szCs w:val="20"/>
              </w:rPr>
            </w:pPr>
            <w:r>
              <w:rPr>
                <w:rFonts w:ascii="宋体" w:hAnsi="宋体" w:cs="宋体" w:hint="eastAsia"/>
                <w:sz w:val="20"/>
                <w:szCs w:val="20"/>
              </w:rPr>
              <w:t>1.</w:t>
            </w:r>
            <w:r>
              <w:rPr>
                <w:rFonts w:ascii="宋体" w:hAnsi="宋体" w:cs="宋体" w:hint="eastAsia"/>
                <w:sz w:val="20"/>
                <w:szCs w:val="20"/>
              </w:rPr>
              <w:t>出版发行</w:t>
            </w:r>
            <w:r>
              <w:rPr>
                <w:rFonts w:ascii="宋体" w:hAnsi="宋体" w:cs="宋体" w:hint="eastAsia"/>
                <w:sz w:val="20"/>
                <w:szCs w:val="20"/>
              </w:rPr>
              <w:t>4</w:t>
            </w:r>
            <w:r>
              <w:rPr>
                <w:rFonts w:ascii="宋体" w:hAnsi="宋体" w:cs="宋体" w:hint="eastAsia"/>
                <w:sz w:val="20"/>
                <w:szCs w:val="20"/>
              </w:rPr>
              <w:t>期《北京社会主义学院学报》，并北京市统战系统及外地社院高校等单位寄送</w:t>
            </w:r>
            <w:r>
              <w:rPr>
                <w:rFonts w:ascii="宋体" w:hAnsi="宋体" w:cs="宋体" w:hint="eastAsia"/>
                <w:sz w:val="20"/>
                <w:szCs w:val="20"/>
              </w:rPr>
              <w:t>300</w:t>
            </w:r>
            <w:r>
              <w:rPr>
                <w:rFonts w:ascii="宋体" w:hAnsi="宋体" w:cs="宋体" w:hint="eastAsia"/>
                <w:sz w:val="20"/>
                <w:szCs w:val="20"/>
              </w:rPr>
              <w:t>册以上；</w:t>
            </w:r>
          </w:p>
          <w:p w:rsidR="00477B5A" w:rsidRDefault="00241D64">
            <w:pPr>
              <w:pStyle w:val="3"/>
              <w:adjustRightInd w:val="0"/>
              <w:snapToGrid w:val="0"/>
              <w:ind w:leftChars="0" w:left="0"/>
              <w:rPr>
                <w:rFonts w:ascii="宋体" w:hAnsi="宋体" w:cs="宋体"/>
                <w:sz w:val="20"/>
                <w:szCs w:val="20"/>
              </w:rPr>
            </w:pPr>
            <w:r>
              <w:rPr>
                <w:rFonts w:ascii="宋体" w:hAnsi="宋体" w:cs="宋体" w:hint="eastAsia"/>
                <w:sz w:val="20"/>
                <w:szCs w:val="20"/>
              </w:rPr>
              <w:t>2.</w:t>
            </w:r>
            <w:r>
              <w:rPr>
                <w:rFonts w:ascii="宋体" w:hAnsi="宋体" w:cs="宋体" w:hint="eastAsia"/>
                <w:sz w:val="20"/>
                <w:szCs w:val="20"/>
              </w:rPr>
              <w:t>开展统一战线理论与实践研究，完成课题研究报告</w:t>
            </w:r>
            <w:r>
              <w:rPr>
                <w:rFonts w:ascii="宋体" w:hAnsi="宋体" w:cs="宋体" w:hint="eastAsia"/>
                <w:sz w:val="20"/>
                <w:szCs w:val="20"/>
              </w:rPr>
              <w:t>29</w:t>
            </w:r>
            <w:r>
              <w:rPr>
                <w:rFonts w:ascii="宋体" w:hAnsi="宋体" w:cs="宋体" w:hint="eastAsia"/>
                <w:sz w:val="20"/>
                <w:szCs w:val="20"/>
              </w:rPr>
              <w:t>篇以上，同时，成果刊发、媒体报道达到</w:t>
            </w:r>
            <w:r>
              <w:rPr>
                <w:rFonts w:ascii="宋体" w:hAnsi="宋体" w:cs="宋体" w:hint="eastAsia"/>
                <w:sz w:val="20"/>
                <w:szCs w:val="20"/>
              </w:rPr>
              <w:t>20</w:t>
            </w:r>
            <w:r>
              <w:rPr>
                <w:rFonts w:ascii="宋体" w:hAnsi="宋体" w:cs="宋体" w:hint="eastAsia"/>
                <w:sz w:val="20"/>
                <w:szCs w:val="20"/>
              </w:rPr>
              <w:t>次以上。</w:t>
            </w:r>
          </w:p>
        </w:tc>
      </w:tr>
      <w:tr w:rsidR="00477B5A">
        <w:trPr>
          <w:cantSplit/>
          <w:trHeight w:val="454"/>
          <w:jc w:val="center"/>
        </w:trPr>
        <w:tc>
          <w:tcPr>
            <w:tcW w:w="2015" w:type="pct"/>
            <w:vAlign w:val="center"/>
          </w:tcPr>
          <w:p w:rsidR="00477B5A" w:rsidRDefault="00241D64">
            <w:pPr>
              <w:adjustRightInd w:val="0"/>
              <w:snapToGrid w:val="0"/>
              <w:jc w:val="left"/>
              <w:rPr>
                <w:rFonts w:ascii="宋体" w:hAnsi="宋体" w:cs="宋体"/>
                <w:bCs/>
                <w:sz w:val="20"/>
                <w:szCs w:val="20"/>
              </w:rPr>
            </w:pPr>
            <w:r>
              <w:rPr>
                <w:rFonts w:ascii="宋体" w:hAnsi="宋体" w:cs="宋体" w:hint="eastAsia"/>
                <w:color w:val="383838"/>
                <w:sz w:val="20"/>
                <w:szCs w:val="20"/>
                <w:shd w:val="clear" w:color="auto" w:fill="FFFFFF"/>
              </w:rPr>
              <w:t>组织开展中华文化的教育、研究和对外交流，开展联谊交友。</w:t>
            </w:r>
          </w:p>
        </w:tc>
        <w:tc>
          <w:tcPr>
            <w:tcW w:w="941" w:type="pct"/>
            <w:vAlign w:val="center"/>
          </w:tcPr>
          <w:p w:rsidR="00477B5A" w:rsidRDefault="00241D64">
            <w:pPr>
              <w:adjustRightInd w:val="0"/>
              <w:snapToGrid w:val="0"/>
              <w:jc w:val="left"/>
              <w:rPr>
                <w:rFonts w:ascii="宋体" w:hAnsi="宋体" w:cs="宋体"/>
                <w:color w:val="000000"/>
                <w:kern w:val="0"/>
                <w:sz w:val="20"/>
                <w:szCs w:val="20"/>
                <w:lang/>
              </w:rPr>
            </w:pPr>
            <w:r>
              <w:rPr>
                <w:rFonts w:ascii="宋体" w:hAnsi="宋体" w:cs="宋体" w:hint="eastAsia"/>
                <w:color w:val="383838"/>
                <w:sz w:val="20"/>
                <w:szCs w:val="20"/>
                <w:shd w:val="clear" w:color="auto" w:fill="FFFFFF"/>
              </w:rPr>
              <w:t>文化统战工作进一步提速，开放办学格局进一步稳定</w:t>
            </w:r>
          </w:p>
        </w:tc>
        <w:tc>
          <w:tcPr>
            <w:tcW w:w="2042" w:type="pct"/>
            <w:vAlign w:val="center"/>
          </w:tcPr>
          <w:p w:rsidR="00477B5A" w:rsidRDefault="00241D64">
            <w:pPr>
              <w:pStyle w:val="3"/>
              <w:numPr>
                <w:ilvl w:val="255"/>
                <w:numId w:val="0"/>
              </w:numPr>
              <w:adjustRightInd w:val="0"/>
              <w:snapToGrid w:val="0"/>
              <w:rPr>
                <w:rFonts w:ascii="宋体" w:hAnsi="宋体" w:cs="宋体"/>
                <w:sz w:val="20"/>
                <w:szCs w:val="20"/>
              </w:rPr>
            </w:pPr>
            <w:r>
              <w:rPr>
                <w:rFonts w:ascii="宋体" w:hAnsi="宋体" w:cs="宋体" w:hint="eastAsia"/>
                <w:sz w:val="20"/>
                <w:szCs w:val="20"/>
              </w:rPr>
              <w:t>1.</w:t>
            </w:r>
            <w:r>
              <w:rPr>
                <w:rFonts w:ascii="宋体" w:hAnsi="宋体" w:cs="宋体" w:hint="eastAsia"/>
                <w:sz w:val="20"/>
                <w:szCs w:val="20"/>
              </w:rPr>
              <w:t>举办中华文化教育研究培训班</w:t>
            </w:r>
            <w:r>
              <w:rPr>
                <w:rFonts w:ascii="宋体" w:hAnsi="宋体" w:cs="宋体" w:hint="eastAsia"/>
                <w:sz w:val="20"/>
                <w:szCs w:val="20"/>
              </w:rPr>
              <w:t xml:space="preserve">15 </w:t>
            </w:r>
            <w:r>
              <w:rPr>
                <w:rFonts w:ascii="宋体" w:hAnsi="宋体" w:cs="宋体" w:hint="eastAsia"/>
                <w:sz w:val="20"/>
                <w:szCs w:val="20"/>
              </w:rPr>
              <w:t>次；</w:t>
            </w:r>
          </w:p>
          <w:p w:rsidR="00477B5A" w:rsidRDefault="00241D64">
            <w:pPr>
              <w:pStyle w:val="3"/>
              <w:numPr>
                <w:ilvl w:val="255"/>
                <w:numId w:val="0"/>
              </w:numPr>
              <w:adjustRightInd w:val="0"/>
              <w:snapToGrid w:val="0"/>
              <w:rPr>
                <w:rFonts w:ascii="宋体" w:hAnsi="宋体" w:cs="宋体"/>
                <w:sz w:val="20"/>
                <w:szCs w:val="20"/>
              </w:rPr>
            </w:pPr>
            <w:r>
              <w:rPr>
                <w:rFonts w:ascii="宋体" w:hAnsi="宋体" w:cs="宋体" w:hint="eastAsia"/>
                <w:sz w:val="20"/>
                <w:szCs w:val="20"/>
              </w:rPr>
              <w:t>2.</w:t>
            </w:r>
            <w:r>
              <w:rPr>
                <w:rFonts w:ascii="宋体" w:hAnsi="宋体" w:cs="宋体" w:hint="eastAsia"/>
                <w:sz w:val="20"/>
                <w:szCs w:val="20"/>
              </w:rPr>
              <w:t>去</w:t>
            </w:r>
            <w:r>
              <w:rPr>
                <w:rFonts w:ascii="宋体" w:hAnsi="宋体" w:cs="宋体" w:hint="eastAsia"/>
                <w:sz w:val="20"/>
                <w:szCs w:val="20"/>
              </w:rPr>
              <w:t>10</w:t>
            </w:r>
            <w:r w:rsidR="0093164C">
              <w:rPr>
                <w:rFonts w:ascii="宋体" w:hAnsi="宋体" w:cs="宋体" w:hint="eastAsia"/>
                <w:sz w:val="20"/>
                <w:szCs w:val="20"/>
              </w:rPr>
              <w:t>个文化参访点进行文化参访</w:t>
            </w:r>
            <w:r>
              <w:rPr>
                <w:rFonts w:ascii="宋体" w:hAnsi="宋体" w:cs="宋体" w:hint="eastAsia"/>
                <w:sz w:val="20"/>
                <w:szCs w:val="20"/>
              </w:rPr>
              <w:t>。</w:t>
            </w:r>
          </w:p>
        </w:tc>
      </w:tr>
    </w:tbl>
    <w:p w:rsidR="00477B5A" w:rsidRDefault="00241D64">
      <w:pPr>
        <w:adjustRightInd w:val="0"/>
        <w:snapToGrid w:val="0"/>
        <w:spacing w:line="360" w:lineRule="auto"/>
        <w:ind w:firstLineChars="200" w:firstLine="640"/>
        <w:outlineLvl w:val="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3.绩效目标设置合理性</w:t>
      </w:r>
    </w:p>
    <w:p w:rsidR="00477B5A" w:rsidRDefault="00241D64">
      <w:pPr>
        <w:pStyle w:val="3"/>
        <w:adjustRightInd w:val="0"/>
        <w:snapToGrid w:val="0"/>
        <w:spacing w:line="360" w:lineRule="auto"/>
        <w:ind w:leftChars="0" w:left="0"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北京社院部门整体绩效目标设置从开展统一战线教育培训、进行统一战线理论与实践研究、举办中华文化教育研究培训、进行文化参访等年度重点任务方面设置，绩效目标设置与部门职责及年度工作计划相符。</w:t>
      </w:r>
    </w:p>
    <w:p w:rsidR="00477B5A" w:rsidRDefault="00241D64">
      <w:pPr>
        <w:adjustRightInd w:val="0"/>
        <w:snapToGrid w:val="0"/>
        <w:spacing w:line="360" w:lineRule="auto"/>
        <w:ind w:firstLineChars="200" w:firstLine="640"/>
        <w:outlineLvl w:val="0"/>
        <w:rPr>
          <w:rFonts w:eastAsia="黑体"/>
          <w:color w:val="000000"/>
          <w:kern w:val="0"/>
          <w:sz w:val="32"/>
          <w:szCs w:val="32"/>
        </w:rPr>
      </w:pPr>
      <w:bookmarkStart w:id="16" w:name="_Toc130"/>
      <w:bookmarkStart w:id="17" w:name="_Toc18116"/>
      <w:r>
        <w:rPr>
          <w:rFonts w:eastAsia="黑体" w:hint="eastAsia"/>
          <w:color w:val="000000"/>
          <w:kern w:val="0"/>
          <w:sz w:val="32"/>
          <w:szCs w:val="32"/>
        </w:rPr>
        <w:t>二</w:t>
      </w:r>
      <w:r>
        <w:rPr>
          <w:rFonts w:eastAsia="黑体"/>
          <w:color w:val="000000"/>
          <w:kern w:val="0"/>
          <w:sz w:val="32"/>
          <w:szCs w:val="32"/>
        </w:rPr>
        <w:t>、</w:t>
      </w:r>
      <w:r>
        <w:rPr>
          <w:rFonts w:eastAsia="黑体" w:hint="eastAsia"/>
          <w:color w:val="000000"/>
          <w:kern w:val="0"/>
          <w:sz w:val="32"/>
          <w:szCs w:val="32"/>
        </w:rPr>
        <w:t>当年</w:t>
      </w:r>
      <w:r>
        <w:rPr>
          <w:rFonts w:eastAsia="黑体"/>
          <w:color w:val="000000"/>
          <w:kern w:val="0"/>
          <w:sz w:val="32"/>
          <w:szCs w:val="32"/>
        </w:rPr>
        <w:t>预算执行情况</w:t>
      </w:r>
      <w:bookmarkEnd w:id="16"/>
      <w:bookmarkEnd w:id="17"/>
    </w:p>
    <w:p w:rsidR="00477B5A" w:rsidRDefault="00241D64">
      <w:pPr>
        <w:adjustRightInd w:val="0"/>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北京社院202</w:t>
      </w:r>
      <w:r>
        <w:rPr>
          <w:rFonts w:ascii="仿宋_GB2312" w:eastAsia="仿宋_GB2312" w:hAnsi="仿宋_GB2312" w:cs="仿宋_GB2312" w:hint="eastAsia"/>
          <w:color w:val="000000"/>
          <w:sz w:val="32"/>
          <w:szCs w:val="32"/>
        </w:rPr>
        <w:t>2年度</w:t>
      </w:r>
      <w:r>
        <w:rPr>
          <w:rFonts w:ascii="仿宋_GB2312" w:eastAsia="仿宋_GB2312" w:hAnsi="仿宋_GB2312" w:cs="仿宋_GB2312" w:hint="eastAsia"/>
          <w:bCs/>
          <w:sz w:val="32"/>
          <w:szCs w:val="32"/>
        </w:rPr>
        <w:t>全年预算</w:t>
      </w:r>
      <w:r>
        <w:rPr>
          <w:rFonts w:ascii="仿宋_GB2312" w:eastAsia="仿宋_GB2312" w:hAnsi="仿宋_GB2312" w:cs="仿宋_GB2312" w:hint="eastAsia"/>
          <w:color w:val="000000"/>
          <w:sz w:val="32"/>
          <w:szCs w:val="32"/>
        </w:rPr>
        <w:t>3900.08</w:t>
      </w:r>
      <w:r>
        <w:rPr>
          <w:rFonts w:ascii="仿宋_GB2312" w:eastAsia="仿宋_GB2312" w:hAnsi="仿宋_GB2312" w:cs="仿宋_GB2312" w:hint="eastAsia"/>
          <w:color w:val="000000"/>
          <w:kern w:val="0"/>
          <w:sz w:val="32"/>
          <w:szCs w:val="32"/>
        </w:rPr>
        <w:t>万元，其中：基本支出预算2658.20万元，</w:t>
      </w:r>
      <w:r>
        <w:rPr>
          <w:rFonts w:ascii="仿宋_GB2312" w:eastAsia="仿宋_GB2312" w:hAnsi="仿宋_GB2312" w:cs="仿宋_GB2312" w:hint="eastAsia"/>
          <w:bCs/>
          <w:sz w:val="32"/>
          <w:szCs w:val="32"/>
        </w:rPr>
        <w:t>占比68.16%；</w:t>
      </w:r>
      <w:r>
        <w:rPr>
          <w:rFonts w:ascii="仿宋_GB2312" w:eastAsia="仿宋_GB2312" w:hAnsi="仿宋_GB2312" w:cs="仿宋_GB2312" w:hint="eastAsia"/>
          <w:color w:val="000000"/>
          <w:kern w:val="0"/>
          <w:sz w:val="32"/>
          <w:szCs w:val="32"/>
        </w:rPr>
        <w:t>项目支出预算1241.88万元，</w:t>
      </w:r>
      <w:r>
        <w:rPr>
          <w:rFonts w:ascii="仿宋_GB2312" w:eastAsia="仿宋_GB2312" w:hAnsi="仿宋_GB2312" w:cs="仿宋_GB2312" w:hint="eastAsia"/>
          <w:bCs/>
          <w:sz w:val="32"/>
          <w:szCs w:val="32"/>
        </w:rPr>
        <w:t>占比31.84%</w:t>
      </w:r>
      <w:r>
        <w:rPr>
          <w:rFonts w:ascii="仿宋_GB2312" w:eastAsia="仿宋_GB2312" w:hAnsi="仿宋_GB2312" w:cs="仿宋_GB2312" w:hint="eastAsia"/>
          <w:color w:val="000000"/>
          <w:kern w:val="0"/>
          <w:sz w:val="32"/>
          <w:szCs w:val="32"/>
        </w:rPr>
        <w:t>。</w:t>
      </w:r>
    </w:p>
    <w:p w:rsidR="00477B5A" w:rsidRDefault="00241D64">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截至2022年12月31日，</w:t>
      </w:r>
      <w:r>
        <w:rPr>
          <w:rFonts w:ascii="仿宋_GB2312" w:eastAsia="仿宋_GB2312" w:hAnsi="仿宋_GB2312" w:cs="仿宋_GB2312" w:hint="eastAsia"/>
          <w:color w:val="000000"/>
          <w:kern w:val="0"/>
          <w:sz w:val="32"/>
          <w:szCs w:val="32"/>
        </w:rPr>
        <w:t>北京社院</w:t>
      </w:r>
      <w:r>
        <w:rPr>
          <w:rFonts w:ascii="仿宋_GB2312" w:eastAsia="仿宋_GB2312" w:hAnsi="仿宋_GB2312" w:cs="仿宋_GB2312" w:hint="eastAsia"/>
          <w:bCs/>
          <w:sz w:val="32"/>
          <w:szCs w:val="32"/>
        </w:rPr>
        <w:t>预算资金总体支出3562.02万元，预算执行率为91.33%，其中：基本支出2496.98万元，</w:t>
      </w:r>
      <w:r>
        <w:rPr>
          <w:rFonts w:ascii="仿宋_GB2312" w:eastAsia="仿宋_GB2312" w:hAnsi="仿宋_GB2312" w:cs="仿宋_GB2312" w:hint="eastAsia"/>
          <w:color w:val="000000"/>
          <w:kern w:val="0"/>
          <w:sz w:val="32"/>
          <w:szCs w:val="32"/>
        </w:rPr>
        <w:t>预算执行率为93.93%；</w:t>
      </w:r>
      <w:r>
        <w:rPr>
          <w:rFonts w:ascii="仿宋_GB2312" w:eastAsia="仿宋_GB2312" w:hAnsi="仿宋_GB2312" w:cs="仿宋_GB2312" w:hint="eastAsia"/>
          <w:bCs/>
          <w:sz w:val="32"/>
          <w:szCs w:val="32"/>
        </w:rPr>
        <w:t>项目支出1065.04万元，</w:t>
      </w:r>
      <w:r>
        <w:rPr>
          <w:rFonts w:ascii="仿宋_GB2312" w:eastAsia="仿宋_GB2312" w:hAnsi="仿宋_GB2312" w:cs="仿宋_GB2312" w:hint="eastAsia"/>
          <w:color w:val="000000"/>
          <w:kern w:val="0"/>
          <w:sz w:val="32"/>
          <w:szCs w:val="32"/>
        </w:rPr>
        <w:t>预算执行率为85.76%</w:t>
      </w:r>
      <w:r>
        <w:rPr>
          <w:rFonts w:ascii="仿宋_GB2312" w:eastAsia="仿宋_GB2312" w:hAnsi="仿宋_GB2312" w:cs="仿宋_GB2312" w:hint="eastAsia"/>
          <w:bCs/>
          <w:sz w:val="32"/>
          <w:szCs w:val="32"/>
        </w:rPr>
        <w:t>。具体预算执行情况如下表：</w:t>
      </w:r>
    </w:p>
    <w:p w:rsidR="00477B5A" w:rsidRDefault="00241D64">
      <w:pPr>
        <w:adjustRightInd w:val="0"/>
        <w:snapToGrid w:val="0"/>
        <w:spacing w:line="360" w:lineRule="auto"/>
        <w:jc w:val="center"/>
        <w:rPr>
          <w:rFonts w:ascii="黑体" w:eastAsia="黑体" w:hAnsi="黑体" w:cs="黑体"/>
          <w:color w:val="000000"/>
          <w:sz w:val="28"/>
          <w:szCs w:val="28"/>
        </w:rPr>
      </w:pPr>
      <w:r>
        <w:rPr>
          <w:rFonts w:ascii="黑体" w:eastAsia="黑体" w:hAnsi="黑体" w:cs="黑体" w:hint="eastAsia"/>
          <w:color w:val="000000"/>
          <w:sz w:val="28"/>
          <w:szCs w:val="28"/>
        </w:rPr>
        <w:t>表4：北京社院2022年度部门预算执行情况表</w:t>
      </w:r>
    </w:p>
    <w:p w:rsidR="00477B5A" w:rsidRDefault="00241D64">
      <w:pPr>
        <w:pStyle w:val="3"/>
        <w:adjustRightInd w:val="0"/>
        <w:snapToGrid w:val="0"/>
        <w:spacing w:line="360" w:lineRule="auto"/>
        <w:ind w:leftChars="0" w:left="0"/>
        <w:jc w:val="right"/>
        <w:rPr>
          <w:rFonts w:eastAsia="黑体"/>
        </w:rPr>
      </w:pPr>
      <w:r>
        <w:rPr>
          <w:rFonts w:eastAsia="黑体" w:hint="eastAsia"/>
          <w:color w:val="000000"/>
          <w:sz w:val="28"/>
          <w:szCs w:val="28"/>
        </w:rPr>
        <w:t>单位：万元</w:t>
      </w:r>
    </w:p>
    <w:tbl>
      <w:tblPr>
        <w:tblW w:w="4998" w:type="pct"/>
        <w:tblLayout w:type="fixed"/>
        <w:tblLook w:val="04A0"/>
      </w:tblPr>
      <w:tblGrid>
        <w:gridCol w:w="1811"/>
        <w:gridCol w:w="1800"/>
        <w:gridCol w:w="1643"/>
        <w:gridCol w:w="1714"/>
        <w:gridCol w:w="1551"/>
      </w:tblGrid>
      <w:tr w:rsidR="00477B5A">
        <w:trPr>
          <w:cantSplit/>
          <w:trHeight w:val="454"/>
          <w:tblHeader/>
        </w:trPr>
        <w:tc>
          <w:tcPr>
            <w:tcW w:w="1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lastRenderedPageBreak/>
              <w:t>类别</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年初预算数</w:t>
            </w:r>
          </w:p>
        </w:tc>
        <w:tc>
          <w:tcPr>
            <w:tcW w:w="16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调整预算数</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实际执行数</w:t>
            </w:r>
          </w:p>
        </w:tc>
        <w:tc>
          <w:tcPr>
            <w:tcW w:w="1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预算执行率</w:t>
            </w:r>
          </w:p>
        </w:tc>
      </w:tr>
      <w:tr w:rsidR="00477B5A">
        <w:trPr>
          <w:cantSplit/>
          <w:trHeight w:val="454"/>
        </w:trPr>
        <w:tc>
          <w:tcPr>
            <w:tcW w:w="1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基本支出</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color w:val="000000"/>
                <w:sz w:val="20"/>
                <w:szCs w:val="20"/>
              </w:rPr>
            </w:pPr>
            <w:r>
              <w:rPr>
                <w:rFonts w:ascii="宋体" w:hAnsi="宋体" w:cs="宋体" w:hint="eastAsia"/>
                <w:sz w:val="20"/>
                <w:szCs w:val="20"/>
              </w:rPr>
              <w:t xml:space="preserve">2451.40 </w:t>
            </w:r>
          </w:p>
        </w:tc>
        <w:tc>
          <w:tcPr>
            <w:tcW w:w="16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color w:val="000000"/>
                <w:sz w:val="20"/>
                <w:szCs w:val="20"/>
              </w:rPr>
            </w:pPr>
            <w:r>
              <w:rPr>
                <w:rFonts w:ascii="宋体" w:hAnsi="宋体" w:cs="宋体" w:hint="eastAsia"/>
                <w:sz w:val="20"/>
                <w:szCs w:val="20"/>
              </w:rPr>
              <w:t xml:space="preserve">2658.20 </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color w:val="000000"/>
                <w:sz w:val="20"/>
                <w:szCs w:val="20"/>
              </w:rPr>
            </w:pPr>
            <w:r>
              <w:rPr>
                <w:rFonts w:ascii="宋体" w:hAnsi="宋体" w:cs="宋体" w:hint="eastAsia"/>
                <w:sz w:val="20"/>
                <w:szCs w:val="20"/>
              </w:rPr>
              <w:t xml:space="preserve">2496.98 </w:t>
            </w:r>
          </w:p>
        </w:tc>
        <w:tc>
          <w:tcPr>
            <w:tcW w:w="1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color w:val="000000"/>
                <w:sz w:val="20"/>
                <w:szCs w:val="20"/>
              </w:rPr>
            </w:pPr>
            <w:r>
              <w:rPr>
                <w:rFonts w:ascii="宋体" w:hAnsi="宋体" w:cs="宋体" w:hint="eastAsia"/>
                <w:sz w:val="20"/>
                <w:szCs w:val="20"/>
              </w:rPr>
              <w:t>93.93%</w:t>
            </w:r>
          </w:p>
        </w:tc>
      </w:tr>
      <w:tr w:rsidR="00477B5A">
        <w:trPr>
          <w:cantSplit/>
          <w:trHeight w:val="454"/>
        </w:trPr>
        <w:tc>
          <w:tcPr>
            <w:tcW w:w="1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Style w:val="font31"/>
                <w:rFonts w:hint="default"/>
                <w:lang/>
              </w:rPr>
              <w:t>人员经费</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color w:val="000000"/>
                <w:sz w:val="20"/>
                <w:szCs w:val="20"/>
              </w:rPr>
            </w:pPr>
            <w:r>
              <w:rPr>
                <w:rFonts w:ascii="宋体" w:hAnsi="宋体" w:cs="宋体" w:hint="eastAsia"/>
                <w:sz w:val="20"/>
                <w:szCs w:val="20"/>
              </w:rPr>
              <w:t xml:space="preserve">2100.11 </w:t>
            </w:r>
          </w:p>
        </w:tc>
        <w:tc>
          <w:tcPr>
            <w:tcW w:w="16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color w:val="000000"/>
                <w:sz w:val="20"/>
                <w:szCs w:val="20"/>
              </w:rPr>
            </w:pPr>
            <w:r>
              <w:rPr>
                <w:rFonts w:ascii="宋体" w:hAnsi="宋体" w:cs="宋体" w:hint="eastAsia"/>
                <w:sz w:val="20"/>
                <w:szCs w:val="20"/>
              </w:rPr>
              <w:t xml:space="preserve">2316.45 </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color w:val="000000"/>
                <w:sz w:val="20"/>
                <w:szCs w:val="20"/>
              </w:rPr>
            </w:pPr>
            <w:r>
              <w:rPr>
                <w:rFonts w:ascii="宋体" w:hAnsi="宋体" w:cs="宋体" w:hint="eastAsia"/>
                <w:sz w:val="20"/>
                <w:szCs w:val="20"/>
              </w:rPr>
              <w:t xml:space="preserve">2246.25 </w:t>
            </w:r>
          </w:p>
        </w:tc>
        <w:tc>
          <w:tcPr>
            <w:tcW w:w="1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color w:val="000000"/>
                <w:sz w:val="20"/>
                <w:szCs w:val="20"/>
              </w:rPr>
            </w:pPr>
            <w:r>
              <w:rPr>
                <w:rFonts w:ascii="宋体" w:hAnsi="宋体" w:cs="宋体" w:hint="eastAsia"/>
                <w:sz w:val="20"/>
                <w:szCs w:val="20"/>
              </w:rPr>
              <w:t>96.97%</w:t>
            </w:r>
          </w:p>
        </w:tc>
      </w:tr>
      <w:tr w:rsidR="00477B5A">
        <w:trPr>
          <w:cantSplit/>
          <w:trHeight w:val="454"/>
        </w:trPr>
        <w:tc>
          <w:tcPr>
            <w:tcW w:w="1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Style w:val="font31"/>
                <w:rFonts w:hint="default"/>
                <w:lang/>
              </w:rPr>
              <w:t>公用经费</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color w:val="000000"/>
                <w:sz w:val="20"/>
                <w:szCs w:val="20"/>
              </w:rPr>
            </w:pPr>
            <w:r>
              <w:rPr>
                <w:rFonts w:ascii="宋体" w:hAnsi="宋体" w:cs="宋体" w:hint="eastAsia"/>
                <w:sz w:val="20"/>
                <w:szCs w:val="20"/>
              </w:rPr>
              <w:t xml:space="preserve">351.29 </w:t>
            </w:r>
          </w:p>
        </w:tc>
        <w:tc>
          <w:tcPr>
            <w:tcW w:w="16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color w:val="000000"/>
                <w:sz w:val="20"/>
                <w:szCs w:val="20"/>
              </w:rPr>
            </w:pPr>
            <w:r>
              <w:rPr>
                <w:rFonts w:ascii="宋体" w:hAnsi="宋体" w:cs="宋体" w:hint="eastAsia"/>
                <w:sz w:val="20"/>
                <w:szCs w:val="20"/>
              </w:rPr>
              <w:t xml:space="preserve">341.75 </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color w:val="000000"/>
                <w:sz w:val="20"/>
                <w:szCs w:val="20"/>
              </w:rPr>
            </w:pPr>
            <w:r>
              <w:rPr>
                <w:rFonts w:ascii="宋体" w:hAnsi="宋体" w:cs="宋体" w:hint="eastAsia"/>
                <w:sz w:val="20"/>
                <w:szCs w:val="20"/>
              </w:rPr>
              <w:t xml:space="preserve">250.73 </w:t>
            </w:r>
          </w:p>
        </w:tc>
        <w:tc>
          <w:tcPr>
            <w:tcW w:w="1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color w:val="000000"/>
                <w:sz w:val="20"/>
                <w:szCs w:val="20"/>
              </w:rPr>
            </w:pPr>
            <w:r>
              <w:rPr>
                <w:rFonts w:ascii="宋体" w:hAnsi="宋体" w:cs="宋体" w:hint="eastAsia"/>
                <w:sz w:val="20"/>
                <w:szCs w:val="20"/>
              </w:rPr>
              <w:t>73.37%</w:t>
            </w:r>
          </w:p>
        </w:tc>
      </w:tr>
      <w:tr w:rsidR="00477B5A">
        <w:trPr>
          <w:cantSplit/>
          <w:trHeight w:val="454"/>
        </w:trPr>
        <w:tc>
          <w:tcPr>
            <w:tcW w:w="1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项目支出</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color w:val="000000"/>
                <w:sz w:val="20"/>
                <w:szCs w:val="20"/>
              </w:rPr>
            </w:pPr>
            <w:r>
              <w:rPr>
                <w:rFonts w:ascii="宋体" w:hAnsi="宋体" w:cs="宋体" w:hint="eastAsia"/>
                <w:sz w:val="20"/>
                <w:szCs w:val="20"/>
              </w:rPr>
              <w:t xml:space="preserve">1584.58 </w:t>
            </w:r>
          </w:p>
        </w:tc>
        <w:tc>
          <w:tcPr>
            <w:tcW w:w="16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color w:val="000000"/>
                <w:sz w:val="20"/>
                <w:szCs w:val="20"/>
              </w:rPr>
            </w:pPr>
            <w:r>
              <w:rPr>
                <w:rFonts w:ascii="宋体" w:hAnsi="宋体" w:cs="宋体" w:hint="eastAsia"/>
                <w:sz w:val="20"/>
                <w:szCs w:val="20"/>
              </w:rPr>
              <w:t xml:space="preserve">1241.88 </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color w:val="000000"/>
                <w:sz w:val="20"/>
                <w:szCs w:val="20"/>
              </w:rPr>
            </w:pPr>
            <w:r>
              <w:rPr>
                <w:rFonts w:ascii="宋体" w:hAnsi="宋体" w:cs="宋体" w:hint="eastAsia"/>
                <w:sz w:val="20"/>
                <w:szCs w:val="20"/>
              </w:rPr>
              <w:t xml:space="preserve">1065.04 </w:t>
            </w:r>
          </w:p>
        </w:tc>
        <w:tc>
          <w:tcPr>
            <w:tcW w:w="1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color w:val="000000"/>
                <w:sz w:val="20"/>
                <w:szCs w:val="20"/>
              </w:rPr>
            </w:pPr>
            <w:r>
              <w:rPr>
                <w:rFonts w:ascii="宋体" w:hAnsi="宋体" w:cs="宋体" w:hint="eastAsia"/>
                <w:sz w:val="20"/>
                <w:szCs w:val="20"/>
              </w:rPr>
              <w:t>85.76%</w:t>
            </w:r>
          </w:p>
        </w:tc>
      </w:tr>
      <w:tr w:rsidR="00477B5A">
        <w:trPr>
          <w:cantSplit/>
          <w:trHeight w:val="454"/>
        </w:trPr>
        <w:tc>
          <w:tcPr>
            <w:tcW w:w="1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本年支出合计</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b/>
                <w:bCs/>
                <w:color w:val="000000"/>
                <w:sz w:val="20"/>
                <w:szCs w:val="20"/>
              </w:rPr>
            </w:pPr>
            <w:r>
              <w:rPr>
                <w:rFonts w:ascii="宋体" w:hAnsi="宋体" w:cs="宋体" w:hint="eastAsia"/>
                <w:b/>
                <w:bCs/>
                <w:sz w:val="20"/>
                <w:szCs w:val="20"/>
              </w:rPr>
              <w:t xml:space="preserve">4035.98 </w:t>
            </w:r>
          </w:p>
        </w:tc>
        <w:tc>
          <w:tcPr>
            <w:tcW w:w="16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b/>
                <w:bCs/>
                <w:sz w:val="20"/>
                <w:szCs w:val="20"/>
              </w:rPr>
            </w:pPr>
            <w:r>
              <w:rPr>
                <w:rFonts w:ascii="宋体" w:hAnsi="宋体" w:cs="宋体" w:hint="eastAsia"/>
                <w:b/>
                <w:bCs/>
                <w:sz w:val="20"/>
                <w:szCs w:val="20"/>
              </w:rPr>
              <w:t xml:space="preserve">3900.08 </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b/>
                <w:bCs/>
                <w:sz w:val="20"/>
                <w:szCs w:val="20"/>
              </w:rPr>
            </w:pPr>
            <w:r>
              <w:rPr>
                <w:rFonts w:ascii="宋体" w:hAnsi="宋体" w:cs="宋体" w:hint="eastAsia"/>
                <w:b/>
                <w:bCs/>
                <w:sz w:val="20"/>
                <w:szCs w:val="20"/>
              </w:rPr>
              <w:t xml:space="preserve">3562.02 </w:t>
            </w:r>
          </w:p>
        </w:tc>
        <w:tc>
          <w:tcPr>
            <w:tcW w:w="1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b/>
                <w:bCs/>
                <w:color w:val="000000"/>
                <w:sz w:val="20"/>
                <w:szCs w:val="20"/>
              </w:rPr>
            </w:pPr>
            <w:r>
              <w:rPr>
                <w:rFonts w:ascii="宋体" w:hAnsi="宋体" w:cs="宋体" w:hint="eastAsia"/>
                <w:b/>
                <w:bCs/>
                <w:sz w:val="20"/>
                <w:szCs w:val="20"/>
              </w:rPr>
              <w:t>91.33%</w:t>
            </w:r>
          </w:p>
        </w:tc>
      </w:tr>
      <w:tr w:rsidR="00477B5A">
        <w:trPr>
          <w:cantSplit/>
          <w:trHeight w:val="454"/>
        </w:trPr>
        <w:tc>
          <w:tcPr>
            <w:tcW w:w="1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结余分配</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color w:val="000000"/>
                <w:sz w:val="20"/>
                <w:szCs w:val="20"/>
              </w:rPr>
            </w:pPr>
            <w:r>
              <w:rPr>
                <w:rFonts w:ascii="宋体" w:hAnsi="宋体" w:cs="宋体" w:hint="eastAsia"/>
                <w:sz w:val="20"/>
                <w:szCs w:val="20"/>
              </w:rPr>
              <w:t xml:space="preserve">0.00 </w:t>
            </w:r>
          </w:p>
        </w:tc>
        <w:tc>
          <w:tcPr>
            <w:tcW w:w="16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sz w:val="20"/>
                <w:szCs w:val="20"/>
              </w:rPr>
            </w:pPr>
            <w:r>
              <w:rPr>
                <w:rFonts w:ascii="宋体" w:hAnsi="宋体" w:cs="宋体" w:hint="eastAsia"/>
                <w:sz w:val="20"/>
                <w:szCs w:val="20"/>
              </w:rPr>
              <w:t xml:space="preserve">0.00 </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sz w:val="20"/>
                <w:szCs w:val="20"/>
              </w:rPr>
            </w:pPr>
            <w:r>
              <w:rPr>
                <w:rFonts w:ascii="宋体" w:hAnsi="宋体" w:cs="宋体" w:hint="eastAsia"/>
                <w:sz w:val="20"/>
                <w:szCs w:val="20"/>
              </w:rPr>
              <w:t xml:space="preserve">0.00 </w:t>
            </w:r>
          </w:p>
        </w:tc>
        <w:tc>
          <w:tcPr>
            <w:tcW w:w="1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rPr>
              <w:t>—</w:t>
            </w:r>
          </w:p>
        </w:tc>
      </w:tr>
      <w:tr w:rsidR="00477B5A">
        <w:trPr>
          <w:cantSplit/>
          <w:trHeight w:val="454"/>
        </w:trPr>
        <w:tc>
          <w:tcPr>
            <w:tcW w:w="1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年末结转和结余</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color w:val="000000"/>
                <w:sz w:val="20"/>
                <w:szCs w:val="20"/>
              </w:rPr>
            </w:pPr>
            <w:r>
              <w:rPr>
                <w:rFonts w:ascii="宋体" w:hAnsi="宋体" w:cs="宋体" w:hint="eastAsia"/>
                <w:sz w:val="20"/>
                <w:szCs w:val="20"/>
              </w:rPr>
              <w:t xml:space="preserve">0.00 </w:t>
            </w:r>
          </w:p>
        </w:tc>
        <w:tc>
          <w:tcPr>
            <w:tcW w:w="16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sz w:val="20"/>
                <w:szCs w:val="20"/>
              </w:rPr>
            </w:pPr>
            <w:r>
              <w:rPr>
                <w:rFonts w:ascii="宋体" w:hAnsi="宋体" w:cs="宋体" w:hint="eastAsia"/>
                <w:sz w:val="20"/>
                <w:szCs w:val="20"/>
              </w:rPr>
              <w:t xml:space="preserve">0.00 </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sz w:val="20"/>
                <w:szCs w:val="20"/>
              </w:rPr>
            </w:pPr>
            <w:r>
              <w:rPr>
                <w:rFonts w:ascii="宋体" w:hAnsi="宋体" w:cs="宋体" w:hint="eastAsia"/>
                <w:sz w:val="20"/>
                <w:szCs w:val="20"/>
              </w:rPr>
              <w:t xml:space="preserve">338.06 </w:t>
            </w:r>
          </w:p>
        </w:tc>
        <w:tc>
          <w:tcPr>
            <w:tcW w:w="1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rPr>
              <w:t>—</w:t>
            </w:r>
          </w:p>
        </w:tc>
      </w:tr>
      <w:tr w:rsidR="00477B5A">
        <w:trPr>
          <w:cantSplit/>
          <w:trHeight w:val="454"/>
        </w:trPr>
        <w:tc>
          <w:tcPr>
            <w:tcW w:w="1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总  计</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b/>
                <w:bCs/>
                <w:color w:val="000000"/>
                <w:sz w:val="20"/>
                <w:szCs w:val="20"/>
              </w:rPr>
            </w:pPr>
            <w:r>
              <w:rPr>
                <w:rFonts w:ascii="宋体" w:hAnsi="宋体" w:cs="宋体" w:hint="eastAsia"/>
                <w:b/>
                <w:bCs/>
                <w:sz w:val="20"/>
                <w:szCs w:val="20"/>
              </w:rPr>
              <w:t xml:space="preserve">4035.98 </w:t>
            </w:r>
          </w:p>
        </w:tc>
        <w:tc>
          <w:tcPr>
            <w:tcW w:w="16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b/>
                <w:bCs/>
                <w:sz w:val="20"/>
                <w:szCs w:val="20"/>
              </w:rPr>
            </w:pPr>
            <w:r>
              <w:rPr>
                <w:rFonts w:ascii="宋体" w:hAnsi="宋体" w:cs="宋体" w:hint="eastAsia"/>
                <w:b/>
                <w:bCs/>
                <w:sz w:val="20"/>
                <w:szCs w:val="20"/>
              </w:rPr>
              <w:t xml:space="preserve">3900.08 </w:t>
            </w:r>
          </w:p>
        </w:tc>
        <w:tc>
          <w:tcPr>
            <w:tcW w:w="17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b/>
                <w:bCs/>
                <w:sz w:val="20"/>
                <w:szCs w:val="20"/>
              </w:rPr>
            </w:pPr>
            <w:r>
              <w:rPr>
                <w:rFonts w:ascii="宋体" w:hAnsi="宋体" w:cs="宋体" w:hint="eastAsia"/>
                <w:b/>
                <w:bCs/>
                <w:sz w:val="20"/>
                <w:szCs w:val="20"/>
              </w:rPr>
              <w:t xml:space="preserve">3900.08 </w:t>
            </w:r>
          </w:p>
        </w:tc>
        <w:tc>
          <w:tcPr>
            <w:tcW w:w="1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rPr>
              <w:t>—</w:t>
            </w:r>
          </w:p>
        </w:tc>
      </w:tr>
    </w:tbl>
    <w:p w:rsidR="00477B5A" w:rsidRDefault="00477B5A">
      <w:pPr>
        <w:adjustRightInd w:val="0"/>
        <w:snapToGrid w:val="0"/>
        <w:spacing w:line="360" w:lineRule="auto"/>
      </w:pPr>
    </w:p>
    <w:p w:rsidR="00477B5A" w:rsidRDefault="00241D64">
      <w:pPr>
        <w:adjustRightInd w:val="0"/>
        <w:snapToGrid w:val="0"/>
        <w:spacing w:line="360" w:lineRule="auto"/>
        <w:ind w:firstLineChars="200" w:firstLine="640"/>
        <w:outlineLvl w:val="0"/>
        <w:rPr>
          <w:rFonts w:eastAsia="黑体"/>
          <w:color w:val="000000"/>
          <w:kern w:val="0"/>
          <w:sz w:val="32"/>
          <w:szCs w:val="32"/>
        </w:rPr>
      </w:pPr>
      <w:bookmarkStart w:id="18" w:name="_Toc32615"/>
      <w:bookmarkStart w:id="19" w:name="_Toc20163"/>
      <w:r>
        <w:rPr>
          <w:rFonts w:eastAsia="黑体" w:hint="eastAsia"/>
          <w:color w:val="000000"/>
          <w:kern w:val="0"/>
          <w:sz w:val="32"/>
          <w:szCs w:val="32"/>
        </w:rPr>
        <w:t>三</w:t>
      </w:r>
      <w:r>
        <w:rPr>
          <w:rFonts w:eastAsia="黑体"/>
          <w:color w:val="000000"/>
          <w:kern w:val="0"/>
          <w:sz w:val="32"/>
          <w:szCs w:val="32"/>
        </w:rPr>
        <w:t>、整体绩效目标实现情况</w:t>
      </w:r>
      <w:bookmarkEnd w:id="18"/>
      <w:bookmarkEnd w:id="19"/>
    </w:p>
    <w:p w:rsidR="00477B5A" w:rsidRDefault="00241D64">
      <w:pPr>
        <w:adjustRightInd w:val="0"/>
        <w:snapToGrid w:val="0"/>
        <w:spacing w:line="360" w:lineRule="auto"/>
        <w:ind w:leftChars="50" w:left="105" w:firstLineChars="150" w:firstLine="480"/>
        <w:outlineLvl w:val="1"/>
        <w:rPr>
          <w:rFonts w:eastAsia="楷体_GB2312"/>
          <w:sz w:val="32"/>
          <w:szCs w:val="32"/>
        </w:rPr>
      </w:pPr>
      <w:bookmarkStart w:id="20" w:name="_Toc30681"/>
      <w:bookmarkStart w:id="21" w:name="_Toc26967"/>
      <w:r>
        <w:rPr>
          <w:rFonts w:eastAsia="楷体_GB2312" w:hint="eastAsia"/>
          <w:sz w:val="32"/>
          <w:szCs w:val="32"/>
        </w:rPr>
        <w:t>（一）产出完成情况分析</w:t>
      </w:r>
      <w:bookmarkEnd w:id="20"/>
      <w:bookmarkEnd w:id="21"/>
    </w:p>
    <w:p w:rsidR="00477B5A" w:rsidRDefault="00241D64">
      <w:pPr>
        <w:adjustRightInd w:val="0"/>
        <w:snapToGrid w:val="0"/>
        <w:spacing w:line="360" w:lineRule="auto"/>
        <w:ind w:leftChars="50" w:left="105" w:firstLineChars="150" w:firstLine="480"/>
        <w:outlineLvl w:val="2"/>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1.产出数量</w:t>
      </w:r>
    </w:p>
    <w:p w:rsidR="00477B5A" w:rsidRDefault="00241D64">
      <w:pPr>
        <w:adjustRightInd w:val="0"/>
        <w:snapToGrid w:val="0"/>
        <w:spacing w:line="360" w:lineRule="auto"/>
        <w:ind w:firstLineChars="200" w:firstLine="640"/>
        <w:rPr>
          <w:rFonts w:eastAsia="仿宋_GB2312"/>
          <w:bCs/>
          <w:sz w:val="32"/>
          <w:szCs w:val="32"/>
        </w:rPr>
      </w:pPr>
      <w:r>
        <w:rPr>
          <w:rFonts w:ascii="仿宋_GB2312" w:eastAsia="仿宋_GB2312" w:hAnsi="仿宋_GB2312" w:cs="仿宋_GB2312" w:hint="eastAsia"/>
          <w:bCs/>
          <w:sz w:val="32"/>
          <w:szCs w:val="32"/>
        </w:rPr>
        <w:t>2022年度北京社院深化落实年度主要工作实施，年初设定的部门整体支出绩效目标中大部分产出数量指标均已按照计划完成，少部分数量指标受疫情影响未达到预期目标。各项绩效指标完成情况如下表所示：</w:t>
      </w:r>
    </w:p>
    <w:p w:rsidR="00477B5A" w:rsidRDefault="00241D64">
      <w:pPr>
        <w:adjustRightInd w:val="0"/>
        <w:snapToGrid w:val="0"/>
        <w:spacing w:line="360" w:lineRule="auto"/>
        <w:jc w:val="center"/>
        <w:rPr>
          <w:rFonts w:ascii="黑体" w:eastAsia="黑体" w:hAnsi="黑体" w:cs="黑体"/>
          <w:bCs/>
          <w:sz w:val="28"/>
          <w:szCs w:val="28"/>
        </w:rPr>
      </w:pPr>
      <w:r>
        <w:rPr>
          <w:rFonts w:ascii="黑体" w:eastAsia="黑体" w:hAnsi="黑体" w:cs="黑体" w:hint="eastAsia"/>
          <w:bCs/>
          <w:sz w:val="28"/>
          <w:szCs w:val="28"/>
        </w:rPr>
        <w:t>表5：2022年度北京社院年度主要工作产出数量指标完成情况</w:t>
      </w:r>
    </w:p>
    <w:tbl>
      <w:tblPr>
        <w:tblW w:w="4998" w:type="pct"/>
        <w:jc w:val="center"/>
        <w:tblLayout w:type="fixed"/>
        <w:tblLook w:val="04A0"/>
      </w:tblPr>
      <w:tblGrid>
        <w:gridCol w:w="936"/>
        <w:gridCol w:w="2338"/>
        <w:gridCol w:w="2672"/>
        <w:gridCol w:w="2573"/>
      </w:tblGrid>
      <w:tr w:rsidR="00477B5A">
        <w:trPr>
          <w:trHeight w:val="454"/>
          <w:tblHeader/>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序号</w:t>
            </w:r>
          </w:p>
        </w:tc>
        <w:tc>
          <w:tcPr>
            <w:tcW w:w="1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绩效目标</w:t>
            </w:r>
          </w:p>
        </w:tc>
        <w:tc>
          <w:tcPr>
            <w:tcW w:w="1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计划值</w:t>
            </w:r>
          </w:p>
        </w:tc>
        <w:tc>
          <w:tcPr>
            <w:tcW w:w="1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完成值</w:t>
            </w:r>
          </w:p>
        </w:tc>
      </w:tr>
      <w:tr w:rsidR="00477B5A">
        <w:trPr>
          <w:trHeight w:val="454"/>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1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sz w:val="20"/>
                <w:szCs w:val="20"/>
              </w:rPr>
              <w:t>培训班次</w:t>
            </w:r>
          </w:p>
        </w:tc>
        <w:tc>
          <w:tcPr>
            <w:tcW w:w="1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sz w:val="20"/>
                <w:szCs w:val="20"/>
              </w:rPr>
              <w:t>59期</w:t>
            </w:r>
          </w:p>
        </w:tc>
        <w:tc>
          <w:tcPr>
            <w:tcW w:w="1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sz w:val="20"/>
                <w:szCs w:val="20"/>
              </w:rPr>
              <w:t>21期</w:t>
            </w:r>
          </w:p>
        </w:tc>
      </w:tr>
      <w:tr w:rsidR="00477B5A">
        <w:trPr>
          <w:trHeight w:val="454"/>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c>
          <w:tcPr>
            <w:tcW w:w="1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sz w:val="20"/>
                <w:szCs w:val="20"/>
              </w:rPr>
              <w:t>培训人数</w:t>
            </w:r>
          </w:p>
        </w:tc>
        <w:tc>
          <w:tcPr>
            <w:tcW w:w="1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sz w:val="20"/>
                <w:szCs w:val="20"/>
              </w:rPr>
              <w:t>≥3590人次</w:t>
            </w:r>
          </w:p>
        </w:tc>
        <w:tc>
          <w:tcPr>
            <w:tcW w:w="1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sz w:val="20"/>
                <w:szCs w:val="20"/>
              </w:rPr>
              <w:t>2057人次</w:t>
            </w:r>
          </w:p>
        </w:tc>
      </w:tr>
      <w:tr w:rsidR="00477B5A">
        <w:trPr>
          <w:trHeight w:val="454"/>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c>
          <w:tcPr>
            <w:tcW w:w="1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sz w:val="20"/>
                <w:szCs w:val="20"/>
              </w:rPr>
              <w:t>培训天数</w:t>
            </w:r>
          </w:p>
        </w:tc>
        <w:tc>
          <w:tcPr>
            <w:tcW w:w="1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sz w:val="20"/>
                <w:szCs w:val="20"/>
              </w:rPr>
              <w:t>≥292天</w:t>
            </w:r>
          </w:p>
        </w:tc>
        <w:tc>
          <w:tcPr>
            <w:tcW w:w="1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sz w:val="20"/>
                <w:szCs w:val="20"/>
              </w:rPr>
              <w:t>189天</w:t>
            </w:r>
          </w:p>
        </w:tc>
      </w:tr>
      <w:tr w:rsidR="00477B5A">
        <w:trPr>
          <w:trHeight w:val="454"/>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c>
          <w:tcPr>
            <w:tcW w:w="1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highlight w:val="yellow"/>
              </w:rPr>
            </w:pPr>
            <w:r>
              <w:rPr>
                <w:rFonts w:ascii="宋体" w:hAnsi="宋体" w:cs="宋体" w:hint="eastAsia"/>
                <w:sz w:val="20"/>
                <w:szCs w:val="20"/>
              </w:rPr>
              <w:t>形成主题课程</w:t>
            </w:r>
          </w:p>
        </w:tc>
        <w:tc>
          <w:tcPr>
            <w:tcW w:w="1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highlight w:val="yellow"/>
              </w:rPr>
            </w:pPr>
            <w:r>
              <w:rPr>
                <w:rFonts w:ascii="宋体" w:hAnsi="宋体" w:cs="宋体" w:hint="eastAsia"/>
                <w:sz w:val="20"/>
                <w:szCs w:val="20"/>
              </w:rPr>
              <w:t>10门</w:t>
            </w:r>
          </w:p>
        </w:tc>
        <w:tc>
          <w:tcPr>
            <w:tcW w:w="1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highlight w:val="yellow"/>
              </w:rPr>
            </w:pPr>
            <w:r>
              <w:rPr>
                <w:rFonts w:ascii="宋体" w:hAnsi="宋体" w:cs="宋体" w:hint="eastAsia"/>
                <w:sz w:val="20"/>
                <w:szCs w:val="20"/>
              </w:rPr>
              <w:t>11（含1门现场教学）</w:t>
            </w:r>
          </w:p>
        </w:tc>
      </w:tr>
      <w:tr w:rsidR="00477B5A">
        <w:trPr>
          <w:trHeight w:val="454"/>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5</w:t>
            </w:r>
          </w:p>
        </w:tc>
        <w:tc>
          <w:tcPr>
            <w:tcW w:w="1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sz w:val="20"/>
                <w:szCs w:val="20"/>
              </w:rPr>
              <w:t>教学模式创新数量</w:t>
            </w:r>
          </w:p>
        </w:tc>
        <w:tc>
          <w:tcPr>
            <w:tcW w:w="1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sz w:val="20"/>
                <w:szCs w:val="20"/>
              </w:rPr>
              <w:t>5门</w:t>
            </w:r>
          </w:p>
        </w:tc>
        <w:tc>
          <w:tcPr>
            <w:tcW w:w="1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sz w:val="20"/>
                <w:szCs w:val="20"/>
              </w:rPr>
              <w:t>5门</w:t>
            </w:r>
          </w:p>
        </w:tc>
      </w:tr>
      <w:tr w:rsidR="00477B5A">
        <w:trPr>
          <w:trHeight w:val="454"/>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c>
          <w:tcPr>
            <w:tcW w:w="1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sz w:val="20"/>
                <w:szCs w:val="20"/>
              </w:rPr>
              <w:t>课程数量</w:t>
            </w:r>
          </w:p>
        </w:tc>
        <w:tc>
          <w:tcPr>
            <w:tcW w:w="1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sz w:val="20"/>
                <w:szCs w:val="20"/>
              </w:rPr>
              <w:t>120门</w:t>
            </w:r>
          </w:p>
        </w:tc>
        <w:tc>
          <w:tcPr>
            <w:tcW w:w="1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sz w:val="20"/>
                <w:szCs w:val="20"/>
              </w:rPr>
              <w:t>120门</w:t>
            </w:r>
          </w:p>
        </w:tc>
      </w:tr>
      <w:tr w:rsidR="00477B5A">
        <w:trPr>
          <w:trHeight w:val="454"/>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7</w:t>
            </w:r>
          </w:p>
        </w:tc>
        <w:tc>
          <w:tcPr>
            <w:tcW w:w="1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sz w:val="20"/>
                <w:szCs w:val="20"/>
              </w:rPr>
              <w:t>完成课题研究报告</w:t>
            </w:r>
          </w:p>
        </w:tc>
        <w:tc>
          <w:tcPr>
            <w:tcW w:w="1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sz w:val="20"/>
                <w:szCs w:val="20"/>
              </w:rPr>
              <w:t>≥29篇</w:t>
            </w:r>
          </w:p>
        </w:tc>
        <w:tc>
          <w:tcPr>
            <w:tcW w:w="1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sz w:val="20"/>
                <w:szCs w:val="20"/>
              </w:rPr>
              <w:t>27篇</w:t>
            </w:r>
          </w:p>
        </w:tc>
      </w:tr>
      <w:tr w:rsidR="00477B5A">
        <w:trPr>
          <w:trHeight w:val="454"/>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8</w:t>
            </w:r>
          </w:p>
        </w:tc>
        <w:tc>
          <w:tcPr>
            <w:tcW w:w="1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承接外单位课题数</w:t>
            </w:r>
          </w:p>
        </w:tc>
        <w:tc>
          <w:tcPr>
            <w:tcW w:w="1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20个</w:t>
            </w:r>
          </w:p>
        </w:tc>
        <w:tc>
          <w:tcPr>
            <w:tcW w:w="1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sz w:val="20"/>
                <w:szCs w:val="20"/>
              </w:rPr>
              <w:t>14个</w:t>
            </w:r>
          </w:p>
        </w:tc>
      </w:tr>
      <w:tr w:rsidR="00477B5A">
        <w:trPr>
          <w:trHeight w:val="454"/>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lastRenderedPageBreak/>
              <w:t>9</w:t>
            </w:r>
          </w:p>
        </w:tc>
        <w:tc>
          <w:tcPr>
            <w:tcW w:w="1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发行《北京社会主义学院学报》</w:t>
            </w:r>
          </w:p>
        </w:tc>
        <w:tc>
          <w:tcPr>
            <w:tcW w:w="1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＝4期</w:t>
            </w:r>
          </w:p>
        </w:tc>
        <w:tc>
          <w:tcPr>
            <w:tcW w:w="1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sz w:val="20"/>
                <w:szCs w:val="20"/>
              </w:rPr>
              <w:t>4期</w:t>
            </w:r>
          </w:p>
        </w:tc>
      </w:tr>
      <w:tr w:rsidR="00477B5A">
        <w:trPr>
          <w:trHeight w:val="454"/>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10</w:t>
            </w:r>
          </w:p>
        </w:tc>
        <w:tc>
          <w:tcPr>
            <w:tcW w:w="1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参访点数量</w:t>
            </w:r>
          </w:p>
        </w:tc>
        <w:tc>
          <w:tcPr>
            <w:tcW w:w="1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＝10个</w:t>
            </w:r>
          </w:p>
        </w:tc>
        <w:tc>
          <w:tcPr>
            <w:tcW w:w="1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sz w:val="20"/>
                <w:szCs w:val="20"/>
              </w:rPr>
              <w:t>8个</w:t>
            </w:r>
          </w:p>
        </w:tc>
      </w:tr>
      <w:tr w:rsidR="00477B5A">
        <w:trPr>
          <w:trHeight w:val="454"/>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11</w:t>
            </w:r>
          </w:p>
        </w:tc>
        <w:tc>
          <w:tcPr>
            <w:tcW w:w="1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制作文化视频数量</w:t>
            </w:r>
          </w:p>
        </w:tc>
        <w:tc>
          <w:tcPr>
            <w:tcW w:w="1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≥2个</w:t>
            </w:r>
          </w:p>
        </w:tc>
        <w:tc>
          <w:tcPr>
            <w:tcW w:w="1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sz w:val="20"/>
                <w:szCs w:val="20"/>
              </w:rPr>
              <w:t>4个</w:t>
            </w:r>
          </w:p>
        </w:tc>
      </w:tr>
      <w:tr w:rsidR="00477B5A">
        <w:trPr>
          <w:trHeight w:val="454"/>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12</w:t>
            </w:r>
          </w:p>
        </w:tc>
        <w:tc>
          <w:tcPr>
            <w:tcW w:w="1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出访团组个数/人次</w:t>
            </w:r>
          </w:p>
        </w:tc>
        <w:tc>
          <w:tcPr>
            <w:tcW w:w="1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＝3个</w:t>
            </w:r>
          </w:p>
        </w:tc>
        <w:tc>
          <w:tcPr>
            <w:tcW w:w="1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sz w:val="20"/>
                <w:szCs w:val="20"/>
              </w:rPr>
              <w:t>0个</w:t>
            </w:r>
          </w:p>
        </w:tc>
      </w:tr>
      <w:tr w:rsidR="00477B5A">
        <w:trPr>
          <w:trHeight w:val="454"/>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13</w:t>
            </w:r>
          </w:p>
        </w:tc>
        <w:tc>
          <w:tcPr>
            <w:tcW w:w="1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接待团组个数/人次</w:t>
            </w:r>
          </w:p>
        </w:tc>
        <w:tc>
          <w:tcPr>
            <w:tcW w:w="1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＝1个</w:t>
            </w:r>
          </w:p>
        </w:tc>
        <w:tc>
          <w:tcPr>
            <w:tcW w:w="1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0个</w:t>
            </w:r>
          </w:p>
        </w:tc>
      </w:tr>
      <w:tr w:rsidR="00477B5A">
        <w:trPr>
          <w:trHeight w:val="454"/>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14</w:t>
            </w:r>
          </w:p>
        </w:tc>
        <w:tc>
          <w:tcPr>
            <w:tcW w:w="1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举办文化研讨会</w:t>
            </w:r>
          </w:p>
        </w:tc>
        <w:tc>
          <w:tcPr>
            <w:tcW w:w="1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≥1次</w:t>
            </w:r>
          </w:p>
        </w:tc>
        <w:tc>
          <w:tcPr>
            <w:tcW w:w="1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2次</w:t>
            </w:r>
          </w:p>
        </w:tc>
      </w:tr>
      <w:tr w:rsidR="00477B5A">
        <w:trPr>
          <w:trHeight w:val="454"/>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15</w:t>
            </w:r>
          </w:p>
        </w:tc>
        <w:tc>
          <w:tcPr>
            <w:tcW w:w="1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采购电子期刊论文数据库数量</w:t>
            </w:r>
          </w:p>
        </w:tc>
        <w:tc>
          <w:tcPr>
            <w:tcW w:w="1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1套</w:t>
            </w:r>
          </w:p>
        </w:tc>
        <w:tc>
          <w:tcPr>
            <w:tcW w:w="1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《党校知识服务平台》标准版1套</w:t>
            </w:r>
          </w:p>
        </w:tc>
      </w:tr>
      <w:tr w:rsidR="00477B5A">
        <w:trPr>
          <w:trHeight w:val="454"/>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16</w:t>
            </w:r>
          </w:p>
        </w:tc>
        <w:tc>
          <w:tcPr>
            <w:tcW w:w="1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知网可阅览论文数量</w:t>
            </w:r>
          </w:p>
        </w:tc>
        <w:tc>
          <w:tcPr>
            <w:tcW w:w="1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＝80000篇</w:t>
            </w:r>
          </w:p>
        </w:tc>
        <w:tc>
          <w:tcPr>
            <w:tcW w:w="1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＞10万篇</w:t>
            </w:r>
          </w:p>
        </w:tc>
      </w:tr>
      <w:tr w:rsidR="00477B5A">
        <w:trPr>
          <w:trHeight w:val="454"/>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17</w:t>
            </w:r>
          </w:p>
        </w:tc>
        <w:tc>
          <w:tcPr>
            <w:tcW w:w="1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知网可阅览期刊数量</w:t>
            </w:r>
          </w:p>
        </w:tc>
        <w:tc>
          <w:tcPr>
            <w:tcW w:w="1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≥23100000篇</w:t>
            </w:r>
          </w:p>
        </w:tc>
        <w:tc>
          <w:tcPr>
            <w:tcW w:w="1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≥2500万篇</w:t>
            </w:r>
          </w:p>
        </w:tc>
      </w:tr>
      <w:tr w:rsidR="00477B5A">
        <w:trPr>
          <w:trHeight w:val="454"/>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18</w:t>
            </w:r>
          </w:p>
        </w:tc>
        <w:tc>
          <w:tcPr>
            <w:tcW w:w="1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图书采购量</w:t>
            </w:r>
          </w:p>
        </w:tc>
        <w:tc>
          <w:tcPr>
            <w:tcW w:w="1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约300册</w:t>
            </w:r>
          </w:p>
        </w:tc>
        <w:tc>
          <w:tcPr>
            <w:tcW w:w="1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300册</w:t>
            </w:r>
          </w:p>
        </w:tc>
      </w:tr>
      <w:tr w:rsidR="00477B5A">
        <w:trPr>
          <w:trHeight w:val="454"/>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19</w:t>
            </w:r>
          </w:p>
        </w:tc>
        <w:tc>
          <w:tcPr>
            <w:tcW w:w="1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采购杂志种类</w:t>
            </w:r>
          </w:p>
        </w:tc>
        <w:tc>
          <w:tcPr>
            <w:tcW w:w="1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≥100种</w:t>
            </w:r>
          </w:p>
        </w:tc>
        <w:tc>
          <w:tcPr>
            <w:tcW w:w="1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109种</w:t>
            </w:r>
          </w:p>
        </w:tc>
      </w:tr>
      <w:tr w:rsidR="00477B5A">
        <w:trPr>
          <w:trHeight w:val="454"/>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20</w:t>
            </w:r>
          </w:p>
        </w:tc>
        <w:tc>
          <w:tcPr>
            <w:tcW w:w="1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软件维护数量</w:t>
            </w:r>
          </w:p>
        </w:tc>
        <w:tc>
          <w:tcPr>
            <w:tcW w:w="1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＝1套</w:t>
            </w:r>
          </w:p>
        </w:tc>
        <w:tc>
          <w:tcPr>
            <w:tcW w:w="1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=1套</w:t>
            </w:r>
          </w:p>
        </w:tc>
      </w:tr>
      <w:tr w:rsidR="00477B5A">
        <w:trPr>
          <w:trHeight w:val="454"/>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21</w:t>
            </w:r>
          </w:p>
        </w:tc>
        <w:tc>
          <w:tcPr>
            <w:tcW w:w="1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交换设备运维数量</w:t>
            </w:r>
          </w:p>
        </w:tc>
        <w:tc>
          <w:tcPr>
            <w:tcW w:w="15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≥50台</w:t>
            </w:r>
          </w:p>
        </w:tc>
        <w:tc>
          <w:tcPr>
            <w:tcW w:w="1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sz w:val="20"/>
                <w:szCs w:val="20"/>
              </w:rPr>
              <w:t>53台</w:t>
            </w:r>
          </w:p>
        </w:tc>
      </w:tr>
      <w:tr w:rsidR="00477B5A">
        <w:trPr>
          <w:trHeight w:val="454"/>
          <w:jc w:val="center"/>
        </w:trPr>
        <w:tc>
          <w:tcPr>
            <w:tcW w:w="5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22</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color w:val="000000"/>
                <w:kern w:val="0"/>
                <w:sz w:val="20"/>
                <w:szCs w:val="20"/>
                <w:lang/>
              </w:rPr>
              <w:t>服务器巡检频率</w:t>
            </w:r>
          </w:p>
        </w:tc>
        <w:tc>
          <w:tcPr>
            <w:tcW w:w="26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color w:val="000000"/>
                <w:kern w:val="0"/>
                <w:sz w:val="20"/>
                <w:szCs w:val="20"/>
                <w:lang/>
              </w:rPr>
              <w:t>＝52次</w:t>
            </w:r>
          </w:p>
        </w:tc>
        <w:tc>
          <w:tcPr>
            <w:tcW w:w="25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sz w:val="20"/>
                <w:szCs w:val="20"/>
              </w:rPr>
            </w:pPr>
            <w:r>
              <w:rPr>
                <w:rFonts w:ascii="宋体" w:hAnsi="宋体" w:cs="宋体" w:hint="eastAsia"/>
                <w:color w:val="000000"/>
                <w:kern w:val="0"/>
                <w:sz w:val="20"/>
                <w:szCs w:val="20"/>
                <w:lang/>
              </w:rPr>
              <w:t>55次</w:t>
            </w:r>
          </w:p>
        </w:tc>
      </w:tr>
    </w:tbl>
    <w:p w:rsidR="00477B5A" w:rsidRDefault="00477B5A">
      <w:pPr>
        <w:pStyle w:val="3"/>
        <w:adjustRightInd w:val="0"/>
        <w:snapToGrid w:val="0"/>
        <w:spacing w:line="360" w:lineRule="auto"/>
        <w:ind w:leftChars="0" w:left="0"/>
        <w:rPr>
          <w:rFonts w:ascii="仿宋_GB2312" w:eastAsia="仿宋_GB2312" w:hAnsi="仿宋_GB2312" w:cs="仿宋_GB2312"/>
          <w:sz w:val="32"/>
          <w:szCs w:val="32"/>
        </w:rPr>
      </w:pPr>
    </w:p>
    <w:p w:rsidR="00477B5A" w:rsidRDefault="00241D64">
      <w:pPr>
        <w:adjustRightInd w:val="0"/>
        <w:snapToGrid w:val="0"/>
        <w:spacing w:line="360" w:lineRule="auto"/>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教学培训与课程创新方面。</w:t>
      </w:r>
      <w:r>
        <w:rPr>
          <w:rFonts w:ascii="仿宋_GB2312" w:eastAsia="仿宋_GB2312" w:hAnsi="仿宋_GB2312" w:cs="仿宋_GB2312" w:hint="eastAsia"/>
          <w:bCs/>
          <w:sz w:val="32"/>
          <w:szCs w:val="32"/>
        </w:rPr>
        <w:t>一是北京社院</w:t>
      </w:r>
      <w:r>
        <w:rPr>
          <w:rFonts w:ascii="仿宋_GB2312" w:eastAsia="仿宋_GB2312" w:hAnsi="仿宋_GB2312" w:cs="仿宋_GB2312" w:hint="eastAsia"/>
          <w:sz w:val="32"/>
          <w:szCs w:val="32"/>
        </w:rPr>
        <w:t>充分利用网站、公众号、“共识学院”线上教学平台等，线上与线下培训相结合，</w:t>
      </w:r>
      <w:r>
        <w:rPr>
          <w:rFonts w:ascii="仿宋_GB2312" w:eastAsia="仿宋_GB2312" w:hAnsi="仿宋_GB2312" w:cs="仿宋_GB2312" w:hint="eastAsia"/>
          <w:bCs/>
          <w:sz w:val="32"/>
          <w:szCs w:val="32"/>
        </w:rPr>
        <w:t>2022年度</w:t>
      </w:r>
      <w:r>
        <w:rPr>
          <w:rFonts w:ascii="仿宋_GB2312" w:eastAsia="仿宋_GB2312" w:hAnsi="仿宋_GB2312" w:cs="仿宋_GB2312" w:hint="eastAsia"/>
          <w:sz w:val="32"/>
          <w:szCs w:val="32"/>
        </w:rPr>
        <w:t>共举办培训班次21期，其中，中华文化教育交流研究相关培训班次2期，统一战线教育相关培训班次19期。但</w:t>
      </w:r>
      <w:r>
        <w:rPr>
          <w:rFonts w:ascii="仿宋_GB2312" w:eastAsia="仿宋_GB2312" w:hAnsi="仿宋_GB2312" w:cs="仿宋_GB2312" w:hint="eastAsia"/>
          <w:bCs/>
          <w:sz w:val="32"/>
          <w:szCs w:val="32"/>
        </w:rPr>
        <w:t>受疫情影响，部分线下培训班次未开展，故全年共计</w:t>
      </w:r>
      <w:r>
        <w:rPr>
          <w:rFonts w:ascii="仿宋_GB2312" w:eastAsia="仿宋_GB2312" w:hAnsi="仿宋_GB2312" w:cs="仿宋_GB2312" w:hint="eastAsia"/>
          <w:sz w:val="32"/>
          <w:szCs w:val="32"/>
        </w:rPr>
        <w:t>培训2057人次，实际培训189天。二是北京社院2022年开设了120门课程，对5门课程进行了教学模式创新，并完成了新时代统一战线工作的理论与实践课程、中国参政党建设的理论与实践课程、香山与统一战线课程、中华文化与统一战线课程共计4个课程模块的开发，形成主题课程11门，</w:t>
      </w:r>
      <w:r>
        <w:rPr>
          <w:rFonts w:ascii="仿宋_GB2312" w:eastAsia="仿宋_GB2312" w:hAnsi="仿宋_GB2312" w:cs="仿宋_GB2312" w:hint="eastAsia"/>
          <w:sz w:val="32"/>
          <w:szCs w:val="32"/>
        </w:rPr>
        <w:lastRenderedPageBreak/>
        <w:t>其中包含1门现场教学。</w:t>
      </w:r>
    </w:p>
    <w:p w:rsidR="00477B5A" w:rsidRDefault="00241D64">
      <w:pPr>
        <w:adjustRightInd w:val="0"/>
        <w:snapToGrid w:val="0"/>
        <w:spacing w:line="360" w:lineRule="auto"/>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课题研究与理论研讨方面。一是</w:t>
      </w:r>
      <w:r>
        <w:rPr>
          <w:rFonts w:ascii="仿宋_GB2312" w:eastAsia="仿宋_GB2312" w:hAnsi="仿宋_GB2312" w:cs="仿宋_GB2312" w:hint="eastAsia"/>
          <w:bCs/>
          <w:sz w:val="32"/>
          <w:szCs w:val="32"/>
        </w:rPr>
        <w:t>2022年度北京社院围绕党的二十大精神、铸牢中华民族共同体意识、海外统战工作、宗教中国化、统战百年历史经验等选题，组织开展课题研究27项，完成课题研究报告</w:t>
      </w:r>
      <w:r>
        <w:rPr>
          <w:rFonts w:ascii="仿宋_GB2312" w:eastAsia="仿宋_GB2312" w:hAnsi="仿宋_GB2312" w:cs="仿宋_GB2312" w:hint="eastAsia"/>
          <w:sz w:val="32"/>
          <w:szCs w:val="32"/>
        </w:rPr>
        <w:t>27篇</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由于申报相同或类似题目较多、研究力量不足等因素影响，仅立项27个课题，未达到年初计划29个课题研究目标。二是</w:t>
      </w:r>
      <w:r>
        <w:rPr>
          <w:rFonts w:ascii="仿宋_GB2312" w:eastAsia="仿宋_GB2312" w:hAnsi="仿宋_GB2312" w:cs="仿宋_GB2312" w:hint="eastAsia"/>
          <w:bCs/>
          <w:sz w:val="32"/>
          <w:szCs w:val="32"/>
        </w:rPr>
        <w:t>承接其他单位统战理论研究课题14项，受疫情影响，未能承接更多的课题研究，年初计划承接外单位课题数20个的目标未能完成。三是成功举办了“共话百年统战”理论研讨会和“政治协商工作制度建设”“协商民主与全过程人民民主”闭门研讨会，并编选、印制了1套《“共话百年统战”理论研讨会文集》。</w:t>
      </w:r>
    </w:p>
    <w:p w:rsidR="00477B5A" w:rsidRDefault="00241D64">
      <w:pPr>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学术成果展示与交流方面。</w:t>
      </w:r>
      <w:r>
        <w:rPr>
          <w:rFonts w:ascii="仿宋_GB2312" w:eastAsia="仿宋_GB2312" w:hAnsi="仿宋_GB2312" w:cs="仿宋_GB2312" w:hint="eastAsia"/>
          <w:bCs/>
          <w:sz w:val="32"/>
          <w:szCs w:val="32"/>
        </w:rPr>
        <w:t>一是</w:t>
      </w:r>
      <w:r>
        <w:rPr>
          <w:rFonts w:ascii="仿宋_GB2312" w:eastAsia="仿宋_GB2312" w:hAnsi="仿宋_GB2312" w:cs="仿宋_GB2312" w:hint="eastAsia"/>
          <w:sz w:val="32"/>
          <w:szCs w:val="32"/>
        </w:rPr>
        <w:t>《北京社会主义学院学报》</w:t>
      </w:r>
      <w:r>
        <w:rPr>
          <w:rFonts w:ascii="仿宋_GB2312" w:eastAsia="仿宋_GB2312" w:hAnsi="仿宋_GB2312" w:cs="仿宋_GB2312" w:hint="eastAsia"/>
          <w:bCs/>
          <w:sz w:val="32"/>
          <w:szCs w:val="32"/>
        </w:rPr>
        <w:t>作为宣传阐释统战理论方针政策，汇集、展示、转化统战理论研究成果，开展学术研究交流的重要平台，2022年度北京社院</w:t>
      </w:r>
      <w:r>
        <w:rPr>
          <w:rFonts w:ascii="仿宋_GB2312" w:eastAsia="仿宋_GB2312" w:hAnsi="仿宋_GB2312" w:cs="仿宋_GB2312" w:hint="eastAsia"/>
          <w:sz w:val="32"/>
          <w:szCs w:val="32"/>
        </w:rPr>
        <w:t>共编发了《北京社会主义学院学报》4期，设置了“习近平新时代中国特色社会主义思想”“中国特色社会主义”“学习贯彻党的二十大精神”“统战工作重大决策部署”等专栏。二是北京社院2022年度选择了8家博物馆等单位作为文化学院文化参访教学基地，制作了文化视频4个，举办了文化研讨会2次，但由于疫情影响，部分文化参访点未开发完毕，出国访谈、接待交流团等工作无法开展。</w:t>
      </w:r>
    </w:p>
    <w:p w:rsidR="00477B5A" w:rsidRDefault="00241D64">
      <w:pPr>
        <w:pStyle w:val="3"/>
        <w:adjustRightInd w:val="0"/>
        <w:snapToGrid w:val="0"/>
        <w:spacing w:line="360" w:lineRule="auto"/>
        <w:ind w:leftChars="0" w:left="0"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教学采购与服务保障方面。</w:t>
      </w:r>
      <w:r>
        <w:rPr>
          <w:rFonts w:ascii="仿宋_GB2312" w:eastAsia="仿宋_GB2312" w:hAnsi="仿宋_GB2312" w:cs="仿宋_GB2312" w:hint="eastAsia"/>
          <w:bCs/>
          <w:sz w:val="32"/>
          <w:szCs w:val="32"/>
        </w:rPr>
        <w:t>一是根据教学及理论研究需要，采购了电子期刊论文数据库《党校知识服务平台》标准版1套，知网可阅览论文数量达到10万篇以上，可阅览期刊数量达到2500万篇以上，并完成图书采购300册，杂志采购109种。二是为保障教学科研工作的顺利进行，开展了为期一年的信息系统运维工作，对交换设备、软件、服务器等进行定期维护和定期巡检。</w:t>
      </w:r>
    </w:p>
    <w:p w:rsidR="00477B5A" w:rsidRDefault="00241D64">
      <w:pPr>
        <w:adjustRightInd w:val="0"/>
        <w:snapToGrid w:val="0"/>
        <w:spacing w:line="360" w:lineRule="auto"/>
        <w:ind w:firstLineChars="200" w:firstLine="640"/>
        <w:outlineLvl w:val="2"/>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2.产出质量</w:t>
      </w:r>
    </w:p>
    <w:p w:rsidR="00477B5A" w:rsidRDefault="00241D64">
      <w:pPr>
        <w:pStyle w:val="3"/>
        <w:adjustRightInd w:val="0"/>
        <w:snapToGrid w:val="0"/>
        <w:spacing w:line="360" w:lineRule="auto"/>
        <w:ind w:leftChars="0" w:left="0"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为确保统一战线教育培训、中华文化教育交流研究、统一战线理论与实践问题研究等各项工作取得实效，北京社院严把质量关：在教学培训方面，严格按照项目目标执行，通过线上线下相结合的培训方式，培训学员参与度与合格率均达到</w:t>
      </w:r>
      <w:r w:rsidR="00AD3403">
        <w:rPr>
          <w:rFonts w:ascii="仿宋_GB2312" w:eastAsia="仿宋_GB2312" w:hAnsi="仿宋_GB2312" w:cs="仿宋_GB2312" w:hint="eastAsia"/>
          <w:color w:val="000000"/>
          <w:kern w:val="0"/>
          <w:sz w:val="32"/>
          <w:szCs w:val="32"/>
        </w:rPr>
        <w:t>90</w:t>
      </w:r>
      <w:r>
        <w:rPr>
          <w:rFonts w:ascii="仿宋_GB2312" w:eastAsia="仿宋_GB2312" w:hAnsi="仿宋_GB2312" w:cs="仿宋_GB2312" w:hint="eastAsia"/>
          <w:color w:val="000000"/>
          <w:kern w:val="0"/>
          <w:sz w:val="32"/>
          <w:szCs w:val="32"/>
        </w:rPr>
        <w:t>%以上；在课程创新方面，开发的课程均完成部门内验收，且专家评审评分均达到85.00分以上，实现学校教育教学软实力的提升；在理论研究方面，对课题研究报告进行了结项评审，评审合格率达到</w:t>
      </w:r>
      <w:r w:rsidR="00AD3403">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%，承接其他单位统战理论课题研究完成情况良好，满足统战工作需要；在学术成果宣传与学术交流方面，每期出版的</w:t>
      </w:r>
      <w:r>
        <w:rPr>
          <w:rFonts w:ascii="仿宋_GB2312" w:eastAsia="仿宋_GB2312" w:hAnsi="仿宋_GB2312" w:cs="仿宋_GB2312" w:hint="eastAsia"/>
          <w:sz w:val="32"/>
          <w:szCs w:val="32"/>
        </w:rPr>
        <w:t>《北京社会主义学院学报》均会</w:t>
      </w:r>
      <w:r>
        <w:rPr>
          <w:rFonts w:ascii="仿宋_GB2312" w:eastAsia="仿宋_GB2312" w:hAnsi="仿宋_GB2312" w:cs="仿宋_GB2312" w:hint="eastAsia"/>
          <w:color w:val="000000"/>
          <w:kern w:val="0"/>
          <w:sz w:val="32"/>
          <w:szCs w:val="32"/>
        </w:rPr>
        <w:t>寄送至中央社会主义学院、北京市委统战部、北京市各区统战部、北京各民主党派市委和口内单位、北京市委党校、北京市各区党校和社会主义学院、全国各省委统战部、全国各省级和部分市级社会主义学院、部分重点高校统战部、统</w:t>
      </w:r>
      <w:r>
        <w:rPr>
          <w:rFonts w:ascii="仿宋_GB2312" w:eastAsia="仿宋_GB2312" w:hAnsi="仿宋_GB2312" w:cs="仿宋_GB2312" w:hint="eastAsia"/>
          <w:color w:val="000000"/>
          <w:kern w:val="0"/>
          <w:sz w:val="32"/>
          <w:szCs w:val="32"/>
        </w:rPr>
        <w:lastRenderedPageBreak/>
        <w:t>一战线各方面代表人士，全国高校、科研院所专家学者等，刊物在首都统战系统各单位覆盖范围较广；在服务保障方面，互联网接入、门户网站、教学系统等故障均在2小时以内修复完成，服务保障工作执行情况良好。综上，项目各项工作完成质量较好。</w:t>
      </w:r>
    </w:p>
    <w:p w:rsidR="00477B5A" w:rsidRDefault="00241D64">
      <w:pPr>
        <w:adjustRightInd w:val="0"/>
        <w:snapToGrid w:val="0"/>
        <w:spacing w:line="360" w:lineRule="auto"/>
        <w:ind w:firstLineChars="200" w:firstLine="640"/>
        <w:outlineLvl w:val="2"/>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3.产出进度</w:t>
      </w:r>
    </w:p>
    <w:p w:rsidR="00477B5A" w:rsidRDefault="00241D64">
      <w:pPr>
        <w:adjustRightInd w:val="0"/>
        <w:snapToGrid w:val="0"/>
        <w:spacing w:line="360" w:lineRule="auto"/>
        <w:ind w:firstLineChars="200" w:firstLine="640"/>
        <w:rPr>
          <w:rFonts w:ascii="仿宋_GB2312" w:eastAsia="仿宋_GB2312" w:hAnsi="仿宋_GB2312" w:cs="仿宋_GB2312"/>
          <w:sz w:val="32"/>
        </w:rPr>
      </w:pPr>
      <w:r>
        <w:rPr>
          <w:rFonts w:ascii="仿宋_GB2312" w:eastAsia="仿宋_GB2312" w:hAnsi="仿宋_GB2312" w:cs="仿宋_GB2312" w:hint="eastAsia"/>
          <w:sz w:val="32"/>
          <w:szCs w:val="32"/>
        </w:rPr>
        <w:t>根据部门整体工作目标完成情况分析，北京社院能够按照计划要求完成年度各项主要工作任务，年度各项工作有序推进落实，项目实施进度及产出时效性较好。</w:t>
      </w:r>
    </w:p>
    <w:p w:rsidR="00477B5A" w:rsidRDefault="00241D64">
      <w:pPr>
        <w:adjustRightInd w:val="0"/>
        <w:snapToGrid w:val="0"/>
        <w:spacing w:line="360" w:lineRule="auto"/>
        <w:ind w:firstLineChars="200" w:firstLine="640"/>
        <w:outlineLvl w:val="2"/>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4.产出成本</w:t>
      </w:r>
    </w:p>
    <w:p w:rsidR="00477B5A" w:rsidRDefault="00241D64">
      <w:pPr>
        <w:widowControl/>
        <w:tabs>
          <w:tab w:val="left" w:pos="2880"/>
          <w:tab w:val="left" w:pos="3240"/>
        </w:tabs>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京社院严格执行《中华人民共和国政府采购法》《中华人民共和国政府采购法实施条例》、北京市政府采购管理办法等有关要求，同时，遵守党中央国务院厉行节约的有关要求，执行单位内部相关财务管理制度及采购管理的相关规定，对年度预算资金进行管理，确保各项支出严格按照预算执行，各项成本控制在预算范围内。2022年部门公用经费支出预算341.75万元，实际支出250.73万元，预算执行率为73.37%，公用经费控制在预算范围内。</w:t>
      </w:r>
    </w:p>
    <w:p w:rsidR="00477B5A" w:rsidRDefault="00241D64">
      <w:pPr>
        <w:widowControl/>
        <w:tabs>
          <w:tab w:val="left" w:pos="2880"/>
          <w:tab w:val="left" w:pos="3240"/>
        </w:tabs>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综上，北京社院2022年度资金支出符合部门履职范围，部门总体资金支出控制在预算范围内，未出现超支情况，部门整体成本控制情况较好。</w:t>
      </w:r>
    </w:p>
    <w:p w:rsidR="00477B5A" w:rsidRDefault="00241D64">
      <w:pPr>
        <w:adjustRightInd w:val="0"/>
        <w:snapToGrid w:val="0"/>
        <w:spacing w:line="360" w:lineRule="auto"/>
        <w:ind w:firstLineChars="200" w:firstLine="640"/>
        <w:outlineLvl w:val="1"/>
        <w:rPr>
          <w:rFonts w:eastAsia="楷体_GB2312"/>
          <w:sz w:val="32"/>
          <w:szCs w:val="32"/>
        </w:rPr>
      </w:pPr>
      <w:bookmarkStart w:id="22" w:name="_Toc5633"/>
      <w:bookmarkStart w:id="23" w:name="_Toc18718"/>
      <w:r>
        <w:rPr>
          <w:rFonts w:eastAsia="楷体_GB2312" w:hint="eastAsia"/>
          <w:sz w:val="32"/>
          <w:szCs w:val="32"/>
        </w:rPr>
        <w:t>（二）效果</w:t>
      </w:r>
      <w:r>
        <w:rPr>
          <w:rFonts w:eastAsia="楷体_GB2312"/>
          <w:sz w:val="32"/>
          <w:szCs w:val="32"/>
        </w:rPr>
        <w:t>实现情况分析</w:t>
      </w:r>
      <w:bookmarkEnd w:id="22"/>
      <w:bookmarkEnd w:id="23"/>
    </w:p>
    <w:p w:rsidR="00477B5A" w:rsidRDefault="00241D64">
      <w:pPr>
        <w:adjustRightInd w:val="0"/>
        <w:snapToGrid w:val="0"/>
        <w:spacing w:line="360" w:lineRule="auto"/>
        <w:ind w:firstLineChars="200" w:firstLine="640"/>
        <w:outlineLvl w:val="2"/>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1.社会效益</w:t>
      </w:r>
    </w:p>
    <w:p w:rsidR="00477B5A" w:rsidRDefault="00241D64">
      <w:pPr>
        <w:adjustRightInd w:val="0"/>
        <w:snapToGrid w:val="0"/>
        <w:spacing w:line="360" w:lineRule="auto"/>
        <w:ind w:leftChars="50" w:left="105"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（1）加强特色课程体系建设，优化教学布局，深化教学改革</w:t>
      </w:r>
    </w:p>
    <w:p w:rsidR="00477B5A" w:rsidRDefault="00241D6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北京社院</w:t>
      </w:r>
      <w:r>
        <w:rPr>
          <w:rFonts w:ascii="仿宋_GB2312" w:eastAsia="仿宋_GB2312" w:hAnsi="仿宋_GB2312" w:cs="仿宋_GB2312" w:hint="eastAsia"/>
          <w:sz w:val="32"/>
          <w:szCs w:val="32"/>
        </w:rPr>
        <w:t>围绕学习宣传贯彻党的二十大精神，完善教学格局，优化教学形式内容，广泛遴选课程，充分利用“共识学苑”线上教学平台，面向首都广大统战成员</w:t>
      </w:r>
      <w:r>
        <w:rPr>
          <w:rFonts w:ascii="仿宋_GB2312" w:eastAsia="仿宋_GB2312" w:hAnsi="仿宋_GB2312" w:cs="仿宋_GB2312" w:hint="eastAsia"/>
          <w:color w:val="000000"/>
          <w:sz w:val="32"/>
          <w:szCs w:val="32"/>
        </w:rPr>
        <w:t>开展党的二十大精神</w:t>
      </w:r>
      <w:r>
        <w:rPr>
          <w:rFonts w:ascii="仿宋_GB2312" w:eastAsia="仿宋_GB2312" w:hAnsi="仿宋_GB2312" w:cs="仿宋_GB2312" w:hint="eastAsia"/>
          <w:sz w:val="32"/>
          <w:szCs w:val="32"/>
        </w:rPr>
        <w:t>宣传宣讲</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sz w:val="32"/>
          <w:szCs w:val="32"/>
        </w:rPr>
        <w:t>一是制订了《北京社会主义学院关于加强课程体系建设的意见》，加强了首都社院特色的课程体系建设，系统总结共识教育实践教学基地建设的基本经验，完善了实践教学基地常态化管理。二是巩固了线上线下教育培训常态化融合发展机制，全年开展培训21期，开设课程120门，教学模式创新5门；同时，充分利用“共识学苑”线上教学平台，面向往期重点班学员推送6门最新基础理论和统一战线课程，服务学员和区级社院教师1000余人次。三是围绕全市统一战线培训需求和学院课程体系，积极开展课程开发和讲授。完成新时代统一战线工作的理论与实践、中国参政党建设的理论与实践、香山与统一战线、中华文化与统一战线课程四个课程模块的开发，形成主题课程11门，开发课程后续将纳入学员班次计划后，预计能够有效提升学员深化相关领域的认知，使学员深化相关领域的认知、提升相关能力。但受疫情影响，线下培训班次减少，项目实施效益有待进一步提升。</w:t>
      </w:r>
    </w:p>
    <w:p w:rsidR="00477B5A" w:rsidRDefault="00241D64">
      <w:pPr>
        <w:numPr>
          <w:ilvl w:val="255"/>
          <w:numId w:val="0"/>
        </w:num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（2）提高统战理论研究水平，为首都统战工作提供理论支持</w:t>
      </w:r>
    </w:p>
    <w:p w:rsidR="00477B5A" w:rsidRDefault="00241D6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北京社院聚焦新时代统一战线重大理论和现实问题，</w:t>
      </w:r>
      <w:r>
        <w:rPr>
          <w:rFonts w:ascii="仿宋_GB2312" w:eastAsia="仿宋_GB2312" w:hAnsi="仿宋_GB2312" w:cs="仿宋_GB2312" w:hint="eastAsia"/>
          <w:bCs/>
          <w:sz w:val="32"/>
          <w:szCs w:val="32"/>
        </w:rPr>
        <w:t>围绕党的二十大精神、铸牢中华民族共同体意识、海外统战工作、宗教中国化、统战百年历史经验开展学术研究和学术交流活动，</w:t>
      </w:r>
      <w:r>
        <w:rPr>
          <w:rFonts w:ascii="仿宋_GB2312" w:eastAsia="仿宋_GB2312" w:hAnsi="仿宋_GB2312" w:cs="仿宋_GB2312" w:hint="eastAsia"/>
          <w:sz w:val="32"/>
          <w:szCs w:val="32"/>
        </w:rPr>
        <w:t>着力破解首都重点难点问题，用理论创新推动政策创新</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一是围绕统战领域重点难点问题，在全市范围内组织开展课题研究，组织立项、完成27项研究课题，形成研究报告27篇，其中8项被评为优秀，15项课题成果报送中央统战部和市委统战部领导参阅，2项课题成果荣获全国统战理论政策研究成果一、二等奖，形成丰富研究成果并转化为有战略性、前瞻性、可行性的高质量对策建议。二是围绕纪念党的统一战线政策提出100周年，与市委统战部共同筹办“共话百年统战”理论研讨会，举办“政治协商工作制度建设”“协商民主与全过程人民民主”闭门研讨会，持续发挥研究组合研究人才资源整合和研究平台作用，及时总结北京市统一战线最新实践成果和经验，进一步提高了统战理论科研水平，为新时代首都统战工作高质量发展提供理论支持。三是加强与相关高校、机构和科研院所联络，搭建开放的学术交流平台，提升了教师研究水平与专业能力。</w:t>
      </w:r>
    </w:p>
    <w:p w:rsidR="00477B5A" w:rsidRDefault="00241D6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（3）弘扬中华优秀文化，促进文化教育交流，</w:t>
      </w:r>
      <w:r>
        <w:rPr>
          <w:rFonts w:ascii="仿宋_GB2312" w:eastAsia="仿宋_GB2312" w:hAnsi="仿宋_GB2312" w:cs="仿宋_GB2312" w:hint="eastAsia"/>
          <w:color w:val="000000"/>
          <w:sz w:val="32"/>
          <w:szCs w:val="32"/>
        </w:rPr>
        <w:t>提升学院影响力</w:t>
      </w:r>
    </w:p>
    <w:p w:rsidR="00477B5A" w:rsidRDefault="00241D64">
      <w:pPr>
        <w:adjustRightInd w:val="0"/>
        <w:snapToGrid w:val="0"/>
        <w:spacing w:line="360" w:lineRule="auto"/>
        <w:ind w:leftChars="50" w:left="105" w:firstLineChars="150" w:firstLine="480"/>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lastRenderedPageBreak/>
        <w:t>北京社院</w:t>
      </w:r>
      <w:r>
        <w:rPr>
          <w:rFonts w:ascii="仿宋_GB2312" w:eastAsia="仿宋_GB2312" w:hAnsi="仿宋_GB2312" w:cs="仿宋_GB2312" w:hint="eastAsia"/>
          <w:kern w:val="0"/>
          <w:sz w:val="32"/>
          <w:szCs w:val="32"/>
        </w:rPr>
        <w:t>通过联合举办文化科普活动，</w:t>
      </w:r>
      <w:r>
        <w:rPr>
          <w:rFonts w:ascii="仿宋_GB2312" w:eastAsia="仿宋_GB2312" w:hAnsi="仿宋_GB2312" w:cs="仿宋_GB2312" w:hint="eastAsia"/>
          <w:sz w:val="32"/>
          <w:szCs w:val="32"/>
        </w:rPr>
        <w:t>持续提高《学报》质量，</w:t>
      </w:r>
      <w:r>
        <w:rPr>
          <w:rFonts w:ascii="仿宋_GB2312" w:eastAsia="仿宋_GB2312" w:hAnsi="仿宋_GB2312" w:cs="仿宋_GB2312" w:hint="eastAsia"/>
          <w:kern w:val="0"/>
          <w:sz w:val="32"/>
          <w:szCs w:val="32"/>
        </w:rPr>
        <w:t>开展学术交流活动</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稳步提升学术影响力。一是与光明网联合举办“携手百年路、共绘同心圆——统战百分在线知识竞答”活动，既广为宣传普及了统战知识，也较好地扩大了北京社院的知名度和影响力。二是</w:t>
      </w:r>
      <w:r>
        <w:rPr>
          <w:rFonts w:ascii="仿宋_GB2312" w:eastAsia="仿宋_GB2312" w:hAnsi="仿宋_GB2312" w:cs="仿宋_GB2312" w:hint="eastAsia"/>
          <w:sz w:val="32"/>
          <w:szCs w:val="32"/>
        </w:rPr>
        <w:t>全年完成4期《北京社会主义学院学报》编印工作，发送给各民族党派及统战系统相关部门和研究人员，起到了宣传普及统战知识的作用，为统战理论学术交流搭建桥梁</w:t>
      </w:r>
      <w:r>
        <w:rPr>
          <w:rFonts w:ascii="仿宋_GB2312" w:eastAsia="仿宋_GB2312" w:hAnsi="仿宋_GB2312" w:cs="仿宋_GB2312" w:hint="eastAsia"/>
          <w:kern w:val="0"/>
          <w:sz w:val="32"/>
          <w:szCs w:val="32"/>
        </w:rPr>
        <w:t>。三是举办了首都留学人员学习习近平总书记系列讲话精神专题研修班和京津冀新侨人才研修班等培训班，引导学员进一步学习习近平新时代中国特色社会主义思想、国情、市情、人类命运共同体理念和中华优秀传统文化等内容，增强了中华文化自信，筑牢了中华民族共同体意识。四是</w:t>
      </w:r>
      <w:r>
        <w:rPr>
          <w:rFonts w:ascii="仿宋_GB2312" w:eastAsia="仿宋_GB2312" w:hAnsi="仿宋_GB2312" w:cs="仿宋_GB2312" w:hint="eastAsia"/>
          <w:sz w:val="32"/>
          <w:szCs w:val="32"/>
        </w:rPr>
        <w:t>选择了8家博物馆等单位作为文化学院文化参访教学基地</w:t>
      </w:r>
      <w:r>
        <w:rPr>
          <w:rFonts w:ascii="仿宋_GB2312" w:eastAsia="仿宋_GB2312" w:hAnsi="仿宋_GB2312" w:cs="仿宋_GB2312" w:hint="eastAsia"/>
          <w:kern w:val="0"/>
          <w:sz w:val="32"/>
          <w:szCs w:val="32"/>
        </w:rPr>
        <w:t>，更好地传承和弘扬了中华文化，</w:t>
      </w:r>
      <w:r>
        <w:rPr>
          <w:rFonts w:ascii="仿宋_GB2312" w:eastAsia="仿宋_GB2312" w:hAnsi="仿宋_GB2312" w:cs="仿宋_GB2312" w:hint="eastAsia"/>
          <w:sz w:val="32"/>
          <w:szCs w:val="32"/>
        </w:rPr>
        <w:t>有效扩大了文化学院影响力。但由于疫情，部分文化参访点未开发完毕，出国访谈和接待交流团等活动均无法开展，学院影响力有待进一步提升。</w:t>
      </w:r>
    </w:p>
    <w:p w:rsidR="00477B5A" w:rsidRDefault="00241D64">
      <w:pPr>
        <w:adjustRightInd w:val="0"/>
        <w:snapToGrid w:val="0"/>
        <w:spacing w:line="360" w:lineRule="auto"/>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2.服务对象满意度</w:t>
      </w:r>
    </w:p>
    <w:p w:rsidR="00477B5A" w:rsidRDefault="00241D64">
      <w:pPr>
        <w:adjustRightInd w:val="0"/>
        <w:snapToGrid w:val="0"/>
        <w:spacing w:line="360" w:lineRule="auto"/>
        <w:ind w:firstLineChars="200" w:firstLine="640"/>
        <w:rPr>
          <w:rFonts w:ascii="仿宋_GB2312" w:eastAsia="仿宋_GB2312" w:hAnsi="宋体" w:cs="宋体"/>
          <w:color w:val="000000"/>
          <w:kern w:val="0"/>
          <w:sz w:val="32"/>
          <w:szCs w:val="32"/>
        </w:rPr>
      </w:pPr>
      <w:r>
        <w:rPr>
          <w:rFonts w:ascii="仿宋_GB2312" w:eastAsia="仿宋_GB2312" w:hAnsi="仿宋_GB2312" w:cs="仿宋_GB2312" w:hint="eastAsia"/>
          <w:color w:val="000000"/>
          <w:kern w:val="0"/>
          <w:sz w:val="32"/>
          <w:szCs w:val="32"/>
        </w:rPr>
        <w:t>北京社院年度各项工作任务开展良好，并取得较为显著的效果，学院各部室、教职工、培训学员、收到《学报》单位对部门履职效果整体较为满意。同时，北京社院针对年度实施的项目服务对象情况，从各部室满意度、全体教职工满</w:t>
      </w:r>
      <w:r>
        <w:rPr>
          <w:rFonts w:ascii="仿宋_GB2312" w:eastAsia="仿宋_GB2312" w:hAnsi="仿宋_GB2312" w:cs="仿宋_GB2312" w:hint="eastAsia"/>
          <w:color w:val="000000"/>
          <w:kern w:val="0"/>
          <w:sz w:val="32"/>
          <w:szCs w:val="32"/>
        </w:rPr>
        <w:lastRenderedPageBreak/>
        <w:t>意度、受训学员满意度、收到《学报》单位满意度等方面设置了满意度指标，满意度均达到85.00%以上，收到《学报》的单位均未提出不满意的意见。但部分项目满意度佐证材料收集力度不足，如“《学报》编辑出版发行”项目设置的满意度指标为“收到学报的单位不满意的意见”，未对收到《学报》的单位，就《学报》刊登内容、刊文题材等方面进行满意度反馈调查，未能获取收到《学报》单位直接的满意度数据，无法全面了解收到《学报</w:t>
      </w:r>
      <w:r>
        <w:rPr>
          <w:rFonts w:ascii="仿宋_GB2312" w:eastAsia="仿宋_GB2312" w:hAnsi="宋体" w:cs="宋体" w:hint="eastAsia"/>
          <w:color w:val="000000"/>
          <w:kern w:val="0"/>
          <w:sz w:val="32"/>
          <w:szCs w:val="32"/>
        </w:rPr>
        <w:t>》的单位对《学报》刊发的满意度及建议反馈情况。</w:t>
      </w:r>
    </w:p>
    <w:p w:rsidR="00477B5A" w:rsidRDefault="00241D64">
      <w:pPr>
        <w:adjustRightInd w:val="0"/>
        <w:snapToGrid w:val="0"/>
        <w:spacing w:line="360" w:lineRule="auto"/>
        <w:ind w:leftChars="50" w:left="105" w:firstLineChars="150" w:firstLine="480"/>
        <w:outlineLvl w:val="0"/>
        <w:rPr>
          <w:rFonts w:eastAsia="黑体"/>
          <w:color w:val="000000"/>
          <w:kern w:val="0"/>
          <w:sz w:val="32"/>
          <w:szCs w:val="32"/>
        </w:rPr>
      </w:pPr>
      <w:bookmarkStart w:id="24" w:name="_Toc112"/>
      <w:bookmarkStart w:id="25" w:name="_Toc13694"/>
      <w:r>
        <w:rPr>
          <w:rFonts w:eastAsia="黑体" w:hint="eastAsia"/>
          <w:color w:val="000000"/>
          <w:kern w:val="0"/>
          <w:sz w:val="32"/>
          <w:szCs w:val="32"/>
        </w:rPr>
        <w:t>四</w:t>
      </w:r>
      <w:r>
        <w:rPr>
          <w:rFonts w:eastAsia="黑体"/>
          <w:color w:val="000000"/>
          <w:kern w:val="0"/>
          <w:sz w:val="32"/>
          <w:szCs w:val="32"/>
        </w:rPr>
        <w:t>、预算管理</w:t>
      </w:r>
      <w:r>
        <w:rPr>
          <w:rFonts w:eastAsia="黑体" w:hint="eastAsia"/>
          <w:color w:val="000000"/>
          <w:kern w:val="0"/>
          <w:sz w:val="32"/>
          <w:szCs w:val="32"/>
        </w:rPr>
        <w:t>情况分</w:t>
      </w:r>
      <w:r>
        <w:rPr>
          <w:rFonts w:eastAsia="黑体"/>
          <w:color w:val="000000"/>
          <w:kern w:val="0"/>
          <w:sz w:val="32"/>
          <w:szCs w:val="32"/>
        </w:rPr>
        <w:t>析</w:t>
      </w:r>
      <w:bookmarkEnd w:id="24"/>
      <w:bookmarkEnd w:id="25"/>
    </w:p>
    <w:p w:rsidR="00477B5A" w:rsidRDefault="00241D64">
      <w:pPr>
        <w:adjustRightInd w:val="0"/>
        <w:snapToGrid w:val="0"/>
        <w:spacing w:line="360" w:lineRule="auto"/>
        <w:ind w:leftChars="50" w:left="105" w:firstLineChars="150" w:firstLine="480"/>
        <w:outlineLvl w:val="1"/>
        <w:rPr>
          <w:rFonts w:eastAsia="楷体_GB2312"/>
          <w:sz w:val="32"/>
          <w:szCs w:val="32"/>
        </w:rPr>
      </w:pPr>
      <w:bookmarkStart w:id="26" w:name="_Toc2117"/>
      <w:bookmarkStart w:id="27" w:name="_Toc22151"/>
      <w:r>
        <w:rPr>
          <w:rFonts w:eastAsia="楷体_GB2312" w:hint="eastAsia"/>
          <w:sz w:val="32"/>
          <w:szCs w:val="32"/>
        </w:rPr>
        <w:t>（一）财务管理</w:t>
      </w:r>
      <w:bookmarkEnd w:id="26"/>
      <w:bookmarkEnd w:id="27"/>
    </w:p>
    <w:p w:rsidR="00477B5A" w:rsidRDefault="00241D64">
      <w:pPr>
        <w:adjustRightInd w:val="0"/>
        <w:snapToGrid w:val="0"/>
        <w:spacing w:line="360" w:lineRule="auto"/>
        <w:ind w:leftChars="50" w:left="105" w:firstLineChars="150" w:firstLine="480"/>
        <w:outlineLvl w:val="2"/>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1.财务管理制度健全性</w:t>
      </w:r>
    </w:p>
    <w:p w:rsidR="00477B5A" w:rsidRDefault="00241D64">
      <w:pPr>
        <w:adjustRightInd w:val="0"/>
        <w:snapToGrid w:val="0"/>
        <w:spacing w:line="36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北京社院制定了《北京社会主义学院预算绩效管理工作办法》《北京社会主义学院预算管理办法》《北京社会主义学院财务管理规定》《北京社会主义学院经费使用流程》《北京社会主义学院公务卡管理办法》《北京社会主义学院采购管理制度（试行）》《北京社会主义学院行政后勤部门采购管理实施细则》《北京社会主义学院固定资产管理办法》《北京社会主义学院合同管理办法》等一系列单位内部财务、资金管理制度，对单位预算绩效管理、预算管理、财务管理、经费使用流程、公务卡管理、采购管理、固定资产管理、合同管理等进行了明确规定，部门财务管理制度健全，为科学、</w:t>
      </w:r>
      <w:r>
        <w:rPr>
          <w:rFonts w:ascii="仿宋_GB2312" w:eastAsia="仿宋_GB2312" w:hAnsi="仿宋_GB2312" w:cs="仿宋_GB2312" w:hint="eastAsia"/>
          <w:sz w:val="32"/>
          <w:szCs w:val="32"/>
        </w:rPr>
        <w:lastRenderedPageBreak/>
        <w:t>合理管理使用部门资金提供了制度依据。</w:t>
      </w:r>
    </w:p>
    <w:p w:rsidR="00477B5A" w:rsidRDefault="00241D64">
      <w:pPr>
        <w:adjustRightInd w:val="0"/>
        <w:snapToGrid w:val="0"/>
        <w:spacing w:line="360" w:lineRule="auto"/>
        <w:ind w:firstLineChars="200" w:firstLine="640"/>
        <w:outlineLvl w:val="2"/>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2.资金使用合规性和安全性</w:t>
      </w:r>
    </w:p>
    <w:p w:rsidR="00477B5A" w:rsidRDefault="00241D64">
      <w:pPr>
        <w:adjustRightInd w:val="0"/>
        <w:snapToGrid w:val="0"/>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2022年度，北京社院部门预算资金管理按照上述单位内部财务管理制度规定执行，对预算资金进行实时监控，严格控制资金用途，切实加强对资金的使用管理，对项目资金进行专款专用、单独核算，未发现截留、挤占、挪用、虚列、超标准开支的情况，</w:t>
      </w:r>
      <w:r>
        <w:rPr>
          <w:rFonts w:ascii="仿宋_GB2312" w:eastAsia="仿宋_GB2312" w:hAnsi="仿宋_GB2312" w:cs="仿宋_GB2312" w:hint="eastAsia"/>
          <w:color w:val="000000" w:themeColor="text1"/>
          <w:sz w:val="32"/>
          <w:szCs w:val="32"/>
        </w:rPr>
        <w:t>资金使用合规性和安全性较好。但个别项目资金存在列支其他项目费用情况，如“《学报》编辑出版发行”项目将单位其他项目需查重文章数量与本项目需查重文章数量一并计算中国知网查重费用，未根据本项目查重实际需求将查重费用在本项目中予以明确。</w:t>
      </w:r>
    </w:p>
    <w:p w:rsidR="00477B5A" w:rsidRDefault="00241D64">
      <w:pPr>
        <w:adjustRightInd w:val="0"/>
        <w:snapToGrid w:val="0"/>
        <w:spacing w:line="360" w:lineRule="auto"/>
        <w:ind w:firstLineChars="200" w:firstLine="640"/>
        <w:outlineLvl w:val="2"/>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3.会计基础信息完善性</w:t>
      </w:r>
    </w:p>
    <w:p w:rsidR="00477B5A" w:rsidRDefault="00241D64">
      <w:pPr>
        <w:widowControl/>
        <w:adjustRightInd w:val="0"/>
        <w:snapToGrid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napToGrid w:val="0"/>
          <w:kern w:val="0"/>
          <w:sz w:val="32"/>
          <w:szCs w:val="32"/>
        </w:rPr>
        <w:t>会计核算方面，北京社院提供的部门决算报表、辅助明细账、国有资产报表、资产报表盘点单等部门相关财务资料，清晰、完整的反映了部门基础数据信息和会计信息，</w:t>
      </w:r>
      <w:bookmarkStart w:id="28" w:name="_Hlk74857464"/>
      <w:r>
        <w:rPr>
          <w:rFonts w:ascii="仿宋_GB2312" w:eastAsia="仿宋_GB2312" w:hAnsi="仿宋_GB2312" w:cs="仿宋_GB2312" w:hint="eastAsia"/>
          <w:color w:val="000000" w:themeColor="text1"/>
          <w:sz w:val="32"/>
          <w:szCs w:val="32"/>
          <w:lang/>
        </w:rPr>
        <w:t>数据真实可靠，</w:t>
      </w:r>
      <w:r>
        <w:rPr>
          <w:rFonts w:ascii="仿宋_GB2312" w:eastAsia="仿宋_GB2312" w:hAnsi="仿宋_GB2312" w:cs="仿宋_GB2312" w:hint="eastAsia"/>
          <w:color w:val="000000" w:themeColor="text1"/>
          <w:sz w:val="32"/>
          <w:szCs w:val="32"/>
        </w:rPr>
        <w:t>会计基础信息较完善。</w:t>
      </w:r>
    </w:p>
    <w:p w:rsidR="00477B5A" w:rsidRDefault="00241D64">
      <w:pPr>
        <w:adjustRightInd w:val="0"/>
        <w:snapToGrid w:val="0"/>
        <w:spacing w:line="360" w:lineRule="auto"/>
        <w:ind w:firstLineChars="200" w:firstLine="640"/>
        <w:outlineLvl w:val="1"/>
        <w:rPr>
          <w:rFonts w:eastAsia="楷体_GB2312"/>
          <w:sz w:val="32"/>
          <w:szCs w:val="32"/>
        </w:rPr>
      </w:pPr>
      <w:bookmarkStart w:id="29" w:name="_Toc25888"/>
      <w:bookmarkStart w:id="30" w:name="_Toc6618"/>
      <w:bookmarkEnd w:id="28"/>
      <w:r>
        <w:rPr>
          <w:rFonts w:eastAsia="楷体_GB2312" w:hint="eastAsia"/>
          <w:sz w:val="32"/>
          <w:szCs w:val="32"/>
        </w:rPr>
        <w:t>（二）资产管理</w:t>
      </w:r>
      <w:bookmarkEnd w:id="29"/>
      <w:bookmarkEnd w:id="30"/>
    </w:p>
    <w:p w:rsidR="00477B5A" w:rsidRDefault="00241D6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截至2022年12月31日，北京社院国有资产总额账面净值3145.39万元。其中，流动资产469.02万元，占资产总额14.91%；固定资产2534.44万元，占资产总额80.58%；无形资产141.94万元，占资产总额4.51%。</w:t>
      </w:r>
    </w:p>
    <w:p w:rsidR="00477B5A" w:rsidRDefault="00241D64">
      <w:pPr>
        <w:pStyle w:val="3"/>
        <w:ind w:leftChars="0" w:left="0"/>
        <w:jc w:val="center"/>
        <w:rPr>
          <w:rFonts w:eastAsia="仿宋_GB2312"/>
        </w:rPr>
      </w:pPr>
      <w:r>
        <w:rPr>
          <w:rFonts w:eastAsia="仿宋_GB2312" w:hint="eastAsia"/>
          <w:noProof/>
        </w:rPr>
        <w:lastRenderedPageBreak/>
        <w:drawing>
          <wp:inline distT="0" distB="0" distL="114300" distR="114300">
            <wp:extent cx="3792220" cy="3002915"/>
            <wp:effectExtent l="4445" t="4445" r="13335" b="1524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7B5A" w:rsidRDefault="00241D64">
      <w:pPr>
        <w:adjustRightInd w:val="0"/>
        <w:snapToGrid w:val="0"/>
        <w:spacing w:line="360" w:lineRule="auto"/>
        <w:jc w:val="center"/>
        <w:rPr>
          <w:rFonts w:ascii="黑体" w:eastAsia="黑体" w:hAnsi="黑体" w:cs="黑体"/>
          <w:bCs/>
          <w:sz w:val="28"/>
          <w:szCs w:val="28"/>
        </w:rPr>
      </w:pPr>
      <w:r>
        <w:rPr>
          <w:rFonts w:ascii="黑体" w:eastAsia="黑体" w:hAnsi="黑体" w:cs="黑体" w:hint="eastAsia"/>
          <w:bCs/>
          <w:sz w:val="28"/>
          <w:szCs w:val="28"/>
        </w:rPr>
        <w:t>图1：2022年度北京社院资产构成情况图</w:t>
      </w:r>
    </w:p>
    <w:p w:rsidR="00477B5A" w:rsidRDefault="00477B5A">
      <w:pPr>
        <w:pStyle w:val="3"/>
        <w:adjustRightInd w:val="0"/>
        <w:snapToGrid w:val="0"/>
        <w:spacing w:line="360" w:lineRule="auto"/>
        <w:ind w:leftChars="0" w:left="0"/>
      </w:pPr>
    </w:p>
    <w:p w:rsidR="00477B5A" w:rsidRDefault="00241D64">
      <w:pPr>
        <w:adjustRightInd w:val="0"/>
        <w:snapToGrid w:val="0"/>
        <w:spacing w:line="360" w:lineRule="auto"/>
        <w:ind w:firstLineChars="200" w:firstLine="640"/>
        <w:rPr>
          <w:rFonts w:eastAsia="楷体_GB2312"/>
          <w:sz w:val="32"/>
          <w:szCs w:val="32"/>
        </w:rPr>
      </w:pPr>
      <w:r>
        <w:rPr>
          <w:rFonts w:eastAsia="仿宋_GB2312"/>
          <w:sz w:val="32"/>
          <w:szCs w:val="32"/>
          <w:lang/>
        </w:rPr>
        <w:t>为加</w:t>
      </w:r>
      <w:r>
        <w:rPr>
          <w:rFonts w:eastAsia="仿宋_GB2312" w:hint="eastAsia"/>
          <w:sz w:val="32"/>
          <w:szCs w:val="32"/>
          <w:lang/>
        </w:rPr>
        <w:t>强资产管理，</w:t>
      </w:r>
      <w:r>
        <w:rPr>
          <w:rFonts w:eastAsia="仿宋_GB2312" w:hint="eastAsia"/>
          <w:sz w:val="32"/>
          <w:szCs w:val="32"/>
        </w:rPr>
        <w:t>北京社院</w:t>
      </w:r>
      <w:r>
        <w:rPr>
          <w:rFonts w:eastAsia="仿宋_GB2312" w:hint="eastAsia"/>
          <w:sz w:val="32"/>
          <w:szCs w:val="32"/>
          <w:lang/>
        </w:rPr>
        <w:t>制定了</w:t>
      </w:r>
      <w:r>
        <w:rPr>
          <w:rFonts w:eastAsia="仿宋_GB2312"/>
          <w:sz w:val="32"/>
          <w:szCs w:val="32"/>
          <w:lang/>
        </w:rPr>
        <w:t>《</w:t>
      </w:r>
      <w:r>
        <w:rPr>
          <w:rFonts w:eastAsia="仿宋_GB2312" w:hint="eastAsia"/>
          <w:sz w:val="32"/>
          <w:szCs w:val="32"/>
        </w:rPr>
        <w:t>北京社会主义学院</w:t>
      </w:r>
      <w:r>
        <w:rPr>
          <w:rFonts w:eastAsia="仿宋_GB2312" w:hint="eastAsia"/>
          <w:sz w:val="32"/>
          <w:szCs w:val="32"/>
          <w:lang/>
        </w:rPr>
        <w:t>固定资产管理办法</w:t>
      </w:r>
      <w:r>
        <w:rPr>
          <w:rFonts w:eastAsia="仿宋_GB2312"/>
          <w:sz w:val="32"/>
          <w:szCs w:val="32"/>
          <w:lang/>
        </w:rPr>
        <w:t>》</w:t>
      </w:r>
      <w:r>
        <w:rPr>
          <w:rFonts w:eastAsia="仿宋_GB2312" w:hint="eastAsia"/>
          <w:sz w:val="32"/>
          <w:szCs w:val="32"/>
        </w:rPr>
        <w:t>，对固定资产管理部</w:t>
      </w:r>
      <w:r>
        <w:rPr>
          <w:rFonts w:eastAsia="仿宋_GB2312" w:hint="eastAsia"/>
          <w:sz w:val="32"/>
          <w:szCs w:val="32"/>
          <w:lang/>
        </w:rPr>
        <w:t>室及其职责，固定资产</w:t>
      </w:r>
      <w:r>
        <w:rPr>
          <w:rFonts w:eastAsia="仿宋_GB2312" w:hint="eastAsia"/>
          <w:sz w:val="32"/>
          <w:szCs w:val="32"/>
        </w:rPr>
        <w:t>的</w:t>
      </w:r>
      <w:r>
        <w:rPr>
          <w:rFonts w:eastAsia="仿宋_GB2312" w:hint="eastAsia"/>
          <w:sz w:val="32"/>
          <w:szCs w:val="32"/>
          <w:lang/>
        </w:rPr>
        <w:t>购置、计价、验收、入库和领用，固定资产</w:t>
      </w:r>
      <w:r>
        <w:rPr>
          <w:rFonts w:eastAsia="仿宋_GB2312" w:hint="eastAsia"/>
          <w:sz w:val="32"/>
          <w:szCs w:val="32"/>
        </w:rPr>
        <w:t>的</w:t>
      </w:r>
      <w:r>
        <w:rPr>
          <w:rFonts w:eastAsia="仿宋_GB2312" w:hint="eastAsia"/>
          <w:sz w:val="32"/>
          <w:szCs w:val="32"/>
          <w:lang/>
        </w:rPr>
        <w:t>日常管理、维护、转移和清查，以及</w:t>
      </w:r>
      <w:r>
        <w:rPr>
          <w:rFonts w:eastAsia="仿宋_GB2312" w:hint="eastAsia"/>
          <w:sz w:val="32"/>
          <w:szCs w:val="32"/>
        </w:rPr>
        <w:t>固定</w:t>
      </w:r>
      <w:r>
        <w:rPr>
          <w:rFonts w:eastAsia="仿宋_GB2312" w:hint="eastAsia"/>
          <w:sz w:val="32"/>
          <w:szCs w:val="32"/>
          <w:lang/>
        </w:rPr>
        <w:t>资产</w:t>
      </w:r>
      <w:r>
        <w:rPr>
          <w:rFonts w:eastAsia="仿宋_GB2312" w:hint="eastAsia"/>
          <w:sz w:val="32"/>
          <w:szCs w:val="32"/>
        </w:rPr>
        <w:t>的</w:t>
      </w:r>
      <w:r>
        <w:rPr>
          <w:rFonts w:eastAsia="仿宋_GB2312" w:hint="eastAsia"/>
          <w:sz w:val="32"/>
          <w:szCs w:val="32"/>
          <w:lang/>
        </w:rPr>
        <w:t>处置等相关</w:t>
      </w:r>
      <w:r>
        <w:rPr>
          <w:rFonts w:eastAsia="仿宋_GB2312" w:hint="eastAsia"/>
          <w:sz w:val="32"/>
          <w:szCs w:val="32"/>
        </w:rPr>
        <w:t>内容进行了明确</w:t>
      </w:r>
      <w:r>
        <w:rPr>
          <w:rFonts w:eastAsia="仿宋_GB2312" w:hint="eastAsia"/>
          <w:sz w:val="32"/>
          <w:szCs w:val="32"/>
          <w:lang/>
        </w:rPr>
        <w:t>。</w:t>
      </w:r>
      <w:r>
        <w:rPr>
          <w:rFonts w:ascii="仿宋_GB2312" w:eastAsia="仿宋_GB2312" w:hAnsi="仿宋_GB2312" w:cs="仿宋_GB2312" w:hint="eastAsia"/>
          <w:sz w:val="32"/>
          <w:szCs w:val="32"/>
        </w:rPr>
        <w:t>北京社院</w:t>
      </w:r>
      <w:r>
        <w:rPr>
          <w:rFonts w:ascii="仿宋_GB2312" w:eastAsia="仿宋_GB2312" w:hAnsi="仿宋_GB2312" w:cs="仿宋_GB2312" w:hint="eastAsia"/>
          <w:color w:val="000000" w:themeColor="text1"/>
          <w:sz w:val="32"/>
          <w:szCs w:val="32"/>
        </w:rPr>
        <w:t>2022年度及时对部门资产使用情况进行盘点，资产配置符合标准。</w:t>
      </w:r>
      <w:r>
        <w:rPr>
          <w:rFonts w:eastAsia="仿宋_GB2312" w:hint="eastAsia"/>
          <w:sz w:val="32"/>
          <w:szCs w:val="32"/>
          <w:lang/>
        </w:rPr>
        <w:t>经抽查发现北京社院</w:t>
      </w:r>
      <w:r>
        <w:rPr>
          <w:rFonts w:eastAsia="仿宋_GB2312" w:hint="eastAsia"/>
          <w:sz w:val="32"/>
          <w:szCs w:val="32"/>
        </w:rPr>
        <w:t>固定</w:t>
      </w:r>
      <w:r>
        <w:rPr>
          <w:rFonts w:eastAsia="仿宋_GB2312" w:hint="eastAsia"/>
          <w:sz w:val="32"/>
          <w:szCs w:val="32"/>
          <w:lang/>
        </w:rPr>
        <w:t>资产</w:t>
      </w:r>
      <w:r>
        <w:rPr>
          <w:rFonts w:eastAsia="仿宋_GB2312" w:hint="eastAsia"/>
          <w:sz w:val="32"/>
          <w:szCs w:val="32"/>
        </w:rPr>
        <w:t>采购、</w:t>
      </w:r>
      <w:r>
        <w:rPr>
          <w:rFonts w:eastAsia="仿宋_GB2312" w:hint="eastAsia"/>
          <w:sz w:val="32"/>
          <w:szCs w:val="32"/>
          <w:lang/>
        </w:rPr>
        <w:t>入库</w:t>
      </w:r>
      <w:r>
        <w:rPr>
          <w:rFonts w:eastAsia="仿宋_GB2312" w:hint="eastAsia"/>
          <w:sz w:val="32"/>
          <w:szCs w:val="32"/>
        </w:rPr>
        <w:t>、验收和</w:t>
      </w:r>
      <w:r>
        <w:rPr>
          <w:rFonts w:eastAsia="仿宋_GB2312" w:hint="eastAsia"/>
          <w:sz w:val="32"/>
          <w:szCs w:val="32"/>
          <w:lang/>
        </w:rPr>
        <w:t>转移程</w:t>
      </w:r>
      <w:r>
        <w:rPr>
          <w:rFonts w:eastAsia="仿宋_GB2312" w:hint="eastAsia"/>
          <w:sz w:val="32"/>
          <w:szCs w:val="32"/>
        </w:rPr>
        <w:t>序均</w:t>
      </w:r>
      <w:r>
        <w:rPr>
          <w:rFonts w:eastAsia="仿宋_GB2312" w:hint="eastAsia"/>
          <w:sz w:val="32"/>
          <w:szCs w:val="32"/>
          <w:lang/>
        </w:rPr>
        <w:t>依据</w:t>
      </w:r>
      <w:r>
        <w:rPr>
          <w:rFonts w:eastAsia="仿宋_GB2312"/>
          <w:sz w:val="32"/>
          <w:szCs w:val="32"/>
          <w:lang/>
        </w:rPr>
        <w:t>《</w:t>
      </w:r>
      <w:r>
        <w:rPr>
          <w:rFonts w:eastAsia="仿宋_GB2312" w:hint="eastAsia"/>
          <w:sz w:val="32"/>
          <w:szCs w:val="32"/>
        </w:rPr>
        <w:t>北京社会主义学院</w:t>
      </w:r>
      <w:r>
        <w:rPr>
          <w:rFonts w:eastAsia="仿宋_GB2312" w:hint="eastAsia"/>
          <w:sz w:val="32"/>
          <w:szCs w:val="32"/>
          <w:lang/>
        </w:rPr>
        <w:t>固定资产管理办法</w:t>
      </w:r>
      <w:r>
        <w:rPr>
          <w:rFonts w:eastAsia="仿宋_GB2312"/>
          <w:sz w:val="32"/>
          <w:szCs w:val="32"/>
          <w:lang/>
        </w:rPr>
        <w:t>》</w:t>
      </w:r>
      <w:r>
        <w:rPr>
          <w:rFonts w:eastAsia="仿宋_GB2312" w:hint="eastAsia"/>
          <w:sz w:val="32"/>
          <w:szCs w:val="32"/>
          <w:lang/>
        </w:rPr>
        <w:t>相关要求执行</w:t>
      </w:r>
      <w:r>
        <w:rPr>
          <w:rFonts w:eastAsia="仿宋_GB2312" w:hint="eastAsia"/>
          <w:sz w:val="32"/>
          <w:szCs w:val="32"/>
        </w:rPr>
        <w:t>，相关固定资产入库单明确了购置部室、资产名称、规格型号、购买单价和数量等内容，相关固定资产转移单明确了资产编码、资产名称、规格型号、数量、原使用位置和使用人及拟转移位置和使用人等内容，并经相关部室负责人同意后才能进行入库和转移。综上，资产管理较为规范。</w:t>
      </w:r>
    </w:p>
    <w:p w:rsidR="00477B5A" w:rsidRDefault="00241D64">
      <w:pPr>
        <w:numPr>
          <w:ilvl w:val="255"/>
          <w:numId w:val="0"/>
        </w:numPr>
        <w:adjustRightInd w:val="0"/>
        <w:snapToGrid w:val="0"/>
        <w:spacing w:line="360" w:lineRule="auto"/>
        <w:ind w:firstLineChars="200" w:firstLine="640"/>
        <w:outlineLvl w:val="1"/>
        <w:rPr>
          <w:rFonts w:eastAsia="楷体_GB2312"/>
          <w:sz w:val="32"/>
          <w:szCs w:val="32"/>
        </w:rPr>
      </w:pPr>
      <w:bookmarkStart w:id="31" w:name="_Toc4755"/>
      <w:bookmarkStart w:id="32" w:name="_Toc21414"/>
      <w:r>
        <w:rPr>
          <w:rFonts w:eastAsia="楷体_GB2312" w:hint="eastAsia"/>
          <w:sz w:val="32"/>
          <w:szCs w:val="32"/>
        </w:rPr>
        <w:lastRenderedPageBreak/>
        <w:t>（三）绩效</w:t>
      </w:r>
      <w:r>
        <w:rPr>
          <w:rFonts w:eastAsia="楷体_GB2312"/>
          <w:sz w:val="32"/>
          <w:szCs w:val="32"/>
        </w:rPr>
        <w:t>管理</w:t>
      </w:r>
      <w:bookmarkEnd w:id="31"/>
      <w:bookmarkEnd w:id="32"/>
    </w:p>
    <w:p w:rsidR="00477B5A" w:rsidRDefault="00241D64">
      <w:pPr>
        <w:adjustRightInd w:val="0"/>
        <w:snapToGrid w:val="0"/>
        <w:spacing w:line="360" w:lineRule="auto"/>
        <w:ind w:firstLineChars="200" w:firstLine="64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sz w:val="32"/>
          <w:szCs w:val="32"/>
        </w:rPr>
        <w:t>根据北京市预算绩效管理相关要求，北京社院对全年预算绩效管理工作进行了安排，能够及时对绩效管理信息进行汇总分析整理。预算绩效管理主要落实以下几项工作：</w:t>
      </w:r>
    </w:p>
    <w:p w:rsidR="00477B5A" w:rsidRDefault="00241D6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绩效目标填报、审核。严格按照北京市2022年度预算编制的相关要求开展年度预算编制工作，根据年度工作任务，随项目预算申报，填报项目支出绩效目标表。组织对所有项目的绩效目标进行审核，审核不合格的退回相关部室进行修改直至合格；审核通过的项目上报北京市财政局。纳入2022年部门预算的项目均随同预算一并填报并公开了项目支出绩效目标申报表。同时，根据部门职责及年度工作要点填报部门整体支出绩效目标，随同部门预算一并公开。</w:t>
      </w:r>
    </w:p>
    <w:p w:rsidR="00477B5A" w:rsidRDefault="00241D6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但部分项目支出绩效目标申报表填报质量有待提高，主要体现在：一是指标设置不够全面、完整，如：“档案整理及维护经费”项目未从档案整理数量等方面设置与工作内容相关的数量指标；“课题等科研培训类项目”未从课题研究报告、培训班次、培训人数等方面设置相关的数量指标。二是绩效指标设置不够量化、明确，大部分效益指标均为定性表述，指标值可量化程度不足，且个别项目数量指标的指标值准确性不足，个别项目未针对具体服务对象或受益对象设置满意度指标，如：“图书与资料购置”项目设置数量指标“完成杂志订阅 图书采购”的指标值为“≥90%”，未能准</w:t>
      </w:r>
      <w:r>
        <w:rPr>
          <w:rFonts w:ascii="仿宋_GB2312" w:eastAsia="仿宋_GB2312" w:hAnsi="仿宋_GB2312" w:cs="仿宋_GB2312" w:hint="eastAsia"/>
          <w:sz w:val="32"/>
          <w:szCs w:val="32"/>
        </w:rPr>
        <w:lastRenderedPageBreak/>
        <w:t>确体现杂志订阅和图书采购量；满意度指标设置为“服务对象满意度指标”，未明确具体服务对象。三是指标设置有误，个别项目质量指标和满意度指标混淆，如：“统一战线理论与实践问题研究”项目设置的满意度指标“课题评审合格率”应属于质量指标。</w:t>
      </w:r>
    </w:p>
    <w:p w:rsidR="00477B5A" w:rsidRDefault="00241D6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（2）加强绩效监控检查。</w:t>
      </w:r>
      <w:r>
        <w:rPr>
          <w:rFonts w:ascii="仿宋_GB2312" w:eastAsia="仿宋_GB2312" w:hAnsi="仿宋_GB2312" w:cs="仿宋_GB2312" w:hint="eastAsia"/>
          <w:color w:val="000000" w:themeColor="text1"/>
          <w:sz w:val="32"/>
          <w:szCs w:val="32"/>
          <w:lang/>
        </w:rPr>
        <w:t>为贯彻</w:t>
      </w:r>
      <w:r>
        <w:rPr>
          <w:rFonts w:ascii="仿宋_GB2312" w:eastAsia="仿宋_GB2312" w:hAnsi="仿宋_GB2312" w:cs="仿宋_GB2312" w:hint="eastAsia"/>
          <w:bCs/>
          <w:color w:val="000000" w:themeColor="text1"/>
          <w:sz w:val="32"/>
          <w:szCs w:val="32"/>
          <w:lang/>
        </w:rPr>
        <w:t>《北京市市级部门预算绩效运行监控管理办法》（京财绩效〔2020〕2034号）</w:t>
      </w:r>
      <w:r>
        <w:rPr>
          <w:rFonts w:ascii="仿宋_GB2312" w:eastAsia="仿宋_GB2312" w:hAnsi="仿宋_GB2312" w:cs="仿宋_GB2312" w:hint="eastAsia"/>
          <w:color w:val="000000" w:themeColor="text1"/>
          <w:sz w:val="32"/>
          <w:szCs w:val="32"/>
          <w:lang/>
        </w:rPr>
        <w:t>有关精神，按照《北京市财政局关于开展2022年全面预算绩效管理工作的通知》（京财绩效〔2022〕669号）要求，</w:t>
      </w:r>
      <w:r>
        <w:rPr>
          <w:rFonts w:ascii="仿宋_GB2312" w:eastAsia="仿宋_GB2312" w:hAnsi="仿宋_GB2312" w:cs="仿宋_GB2312" w:hint="eastAsia"/>
          <w:sz w:val="32"/>
          <w:szCs w:val="32"/>
        </w:rPr>
        <w:t>北</w:t>
      </w:r>
      <w:r>
        <w:rPr>
          <w:rFonts w:ascii="仿宋_GB2312" w:eastAsia="仿宋_GB2312" w:hAnsi="仿宋_GB2312" w:cs="仿宋_GB2312" w:hint="eastAsia"/>
          <w:color w:val="000000" w:themeColor="text1"/>
          <w:sz w:val="32"/>
          <w:szCs w:val="32"/>
        </w:rPr>
        <w:t>京社院于2022年年中开展了绩效</w:t>
      </w:r>
      <w:r>
        <w:rPr>
          <w:rFonts w:ascii="仿宋_GB2312" w:eastAsia="仿宋_GB2312" w:hAnsi="仿宋_GB2312" w:cs="仿宋_GB2312" w:hint="eastAsia"/>
          <w:sz w:val="32"/>
          <w:szCs w:val="32"/>
        </w:rPr>
        <w:t>监控工作，以各部室预算申报材料、财务资料、绩效目标申报表等资料为依据，以绩效目标为核心，围绕绩效目标的完成情况、预算执行情况开展工作，检查绩效目标实现程度，及时发现项目预算执行中的问题，向各部室集中反馈，并对于执行有偏差的项目，提出整改建议及要求。针对跟踪过程中发现的问题，分析汇总并形成《市级项目支出绩效目标执行监控汇总表》和《项目支出绩效目标执行监控报告》。</w:t>
      </w:r>
    </w:p>
    <w:p w:rsidR="00477B5A" w:rsidRDefault="00241D64">
      <w:pPr>
        <w:adjustRightInd w:val="0"/>
        <w:snapToGrid w:val="0"/>
        <w:spacing w:line="360" w:lineRule="auto"/>
        <w:ind w:firstLineChars="200" w:firstLine="640"/>
        <w:rPr>
          <w:rFonts w:ascii="仿宋_GB2312" w:eastAsia="仿宋_GB2312" w:hAnsi="仿宋_GB2312" w:cs="仿宋_GB2312"/>
          <w:color w:val="000000" w:themeColor="text1"/>
          <w:sz w:val="32"/>
          <w:szCs w:val="32"/>
          <w:lang/>
        </w:rPr>
      </w:pPr>
      <w:r>
        <w:rPr>
          <w:rFonts w:ascii="仿宋_GB2312" w:eastAsia="仿宋_GB2312" w:hAnsi="仿宋_GB2312" w:cs="仿宋_GB2312" w:hint="eastAsia"/>
          <w:sz w:val="32"/>
          <w:szCs w:val="32"/>
        </w:rPr>
        <w:t>（3）</w:t>
      </w:r>
      <w:r>
        <w:rPr>
          <w:rFonts w:ascii="仿宋_GB2312" w:eastAsia="仿宋_GB2312" w:hAnsi="仿宋_GB2312" w:cs="仿宋_GB2312" w:hint="eastAsia"/>
          <w:color w:val="000000" w:themeColor="text1"/>
          <w:sz w:val="32"/>
          <w:szCs w:val="32"/>
          <w:lang/>
        </w:rPr>
        <w:t>成本绩效分析。2022年，</w:t>
      </w:r>
      <w:r>
        <w:rPr>
          <w:rFonts w:ascii="仿宋_GB2312" w:eastAsia="仿宋_GB2312" w:hAnsi="仿宋_GB2312" w:cs="仿宋_GB2312" w:hint="eastAsia"/>
          <w:sz w:val="32"/>
          <w:szCs w:val="32"/>
        </w:rPr>
        <w:t>北京社院</w:t>
      </w:r>
      <w:r>
        <w:rPr>
          <w:rFonts w:ascii="仿宋_GB2312" w:eastAsia="仿宋_GB2312" w:hAnsi="仿宋_GB2312" w:cs="仿宋_GB2312" w:hint="eastAsia"/>
          <w:bCs/>
          <w:sz w:val="32"/>
          <w:szCs w:val="32"/>
        </w:rPr>
        <w:t>按照</w:t>
      </w:r>
      <w:r>
        <w:rPr>
          <w:rFonts w:ascii="仿宋_GB2312" w:eastAsia="仿宋_GB2312" w:hAnsi="仿宋_GB2312" w:cs="仿宋_GB2312" w:hint="eastAsia"/>
          <w:sz w:val="32"/>
          <w:szCs w:val="32"/>
        </w:rPr>
        <w:t>《北京市财政局关于开展2022年全面预算绩效管理工作的通知》（京财绩效〔2022〕669号）文件要求，选取“教学培训保障项目”（物业服务部分）梳理项目投入、产出、效果相关数据，结合行业内相关标准，对项目成本投入及效益实现的合理性</w:t>
      </w:r>
      <w:r>
        <w:rPr>
          <w:rFonts w:ascii="仿宋_GB2312" w:eastAsia="仿宋_GB2312" w:hAnsi="仿宋_GB2312" w:cs="仿宋_GB2312" w:hint="eastAsia"/>
          <w:sz w:val="32"/>
          <w:szCs w:val="32"/>
        </w:rPr>
        <w:lastRenderedPageBreak/>
        <w:t>进行综合分析，形成成本预算绩效分析报告。</w:t>
      </w:r>
    </w:p>
    <w:p w:rsidR="00477B5A" w:rsidRDefault="00241D6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（4）开展单位自评和部门评价。2022年，</w:t>
      </w:r>
      <w:r>
        <w:rPr>
          <w:rFonts w:ascii="仿宋_GB2312" w:eastAsia="仿宋_GB2312" w:hAnsi="仿宋_GB2312" w:cs="仿宋_GB2312" w:hint="eastAsia"/>
          <w:color w:val="000000" w:themeColor="text1"/>
          <w:sz w:val="32"/>
          <w:szCs w:val="32"/>
        </w:rPr>
        <w:t>北京社院</w:t>
      </w:r>
      <w:r>
        <w:rPr>
          <w:rFonts w:ascii="仿宋_GB2312" w:eastAsia="仿宋_GB2312" w:hAnsi="仿宋_GB2312" w:cs="仿宋_GB2312" w:hint="eastAsia"/>
          <w:sz w:val="32"/>
          <w:szCs w:val="32"/>
        </w:rPr>
        <w:t>依据《北京市财政局关于开展2022年全面预算绩效管理工作的通知》（京财绩效〔2022〕669号）文件要求，对纳入2021年度部门预算管理且填报绩效目标的项目开展了绩效自评工作，并及时报送绩效自评成果。</w:t>
      </w:r>
    </w:p>
    <w:p w:rsidR="00477B5A" w:rsidRDefault="00241D64">
      <w:pPr>
        <w:numPr>
          <w:ilvl w:val="255"/>
          <w:numId w:val="0"/>
        </w:numPr>
        <w:adjustRightInd w:val="0"/>
        <w:snapToGrid w:val="0"/>
        <w:spacing w:line="360" w:lineRule="auto"/>
        <w:ind w:firstLineChars="200" w:firstLine="640"/>
        <w:outlineLvl w:val="1"/>
        <w:rPr>
          <w:rFonts w:eastAsia="楷体_GB2312"/>
          <w:sz w:val="32"/>
          <w:szCs w:val="32"/>
        </w:rPr>
      </w:pPr>
      <w:bookmarkStart w:id="33" w:name="_Toc10964"/>
      <w:bookmarkStart w:id="34" w:name="_Toc26093"/>
      <w:r>
        <w:rPr>
          <w:rFonts w:eastAsia="楷体_GB2312" w:hint="eastAsia"/>
          <w:sz w:val="32"/>
          <w:szCs w:val="32"/>
        </w:rPr>
        <w:t>（四）结转结余率</w:t>
      </w:r>
      <w:bookmarkEnd w:id="33"/>
      <w:bookmarkEnd w:id="34"/>
    </w:p>
    <w:p w:rsidR="00477B5A" w:rsidRDefault="00241D6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lang/>
        </w:rPr>
        <w:t>年</w:t>
      </w:r>
      <w:r>
        <w:rPr>
          <w:rFonts w:ascii="仿宋_GB2312" w:eastAsia="仿宋_GB2312" w:hAnsi="仿宋_GB2312" w:cs="仿宋_GB2312" w:hint="eastAsia"/>
          <w:sz w:val="32"/>
          <w:szCs w:val="32"/>
        </w:rPr>
        <w:t>北</w:t>
      </w:r>
      <w:r>
        <w:rPr>
          <w:rFonts w:ascii="仿宋_GB2312" w:eastAsia="仿宋_GB2312" w:hAnsi="仿宋_GB2312" w:cs="仿宋_GB2312" w:hint="eastAsia"/>
          <w:sz w:val="32"/>
          <w:szCs w:val="32"/>
          <w:lang/>
        </w:rPr>
        <w:t>京社院年末结转结余资金为338.06万元，全年支出预算为3900.08万元，资金结转结余率为8.67%；2021年北京社院年末结转结余资金为841.04万元，全年支出预算为4258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rPr>
        <w:t>57万元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rPr>
        <w:t>资金结转结余率为</w:t>
      </w:r>
      <w:r>
        <w:rPr>
          <w:rFonts w:ascii="仿宋_GB2312" w:eastAsia="仿宋_GB2312" w:hAnsi="仿宋_GB2312" w:cs="仿宋_GB2312" w:hint="eastAsia"/>
          <w:sz w:val="32"/>
          <w:szCs w:val="32"/>
        </w:rPr>
        <w:t>19.75</w:t>
      </w:r>
      <w:r>
        <w:rPr>
          <w:rFonts w:ascii="仿宋_GB2312" w:eastAsia="仿宋_GB2312" w:hAnsi="仿宋_GB2312" w:cs="仿宋_GB2312" w:hint="eastAsia"/>
          <w:sz w:val="32"/>
          <w:szCs w:val="32"/>
          <w:lang/>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rPr>
        <w:t>年度部门结转结余率较上一年度</w:t>
      </w:r>
      <w:r>
        <w:rPr>
          <w:rFonts w:ascii="仿宋_GB2312" w:eastAsia="仿宋_GB2312" w:hAnsi="仿宋_GB2312" w:cs="仿宋_GB2312" w:hint="eastAsia"/>
          <w:sz w:val="32"/>
          <w:szCs w:val="32"/>
        </w:rPr>
        <w:t>减少11.08%</w:t>
      </w:r>
      <w:r>
        <w:rPr>
          <w:rFonts w:ascii="仿宋_GB2312" w:eastAsia="仿宋_GB2312" w:hAnsi="仿宋_GB2312" w:cs="仿宋_GB2312" w:hint="eastAsia"/>
          <w:sz w:val="32"/>
          <w:szCs w:val="32"/>
          <w:lang/>
        </w:rPr>
        <w:t>。</w:t>
      </w:r>
    </w:p>
    <w:p w:rsidR="00477B5A" w:rsidRDefault="00241D64">
      <w:pPr>
        <w:numPr>
          <w:ilvl w:val="255"/>
          <w:numId w:val="0"/>
        </w:numPr>
        <w:adjustRightInd w:val="0"/>
        <w:snapToGrid w:val="0"/>
        <w:spacing w:line="360" w:lineRule="auto"/>
        <w:ind w:firstLineChars="200" w:firstLine="640"/>
        <w:outlineLvl w:val="1"/>
        <w:rPr>
          <w:rFonts w:eastAsia="楷体_GB2312"/>
          <w:sz w:val="32"/>
          <w:szCs w:val="32"/>
        </w:rPr>
      </w:pPr>
      <w:bookmarkStart w:id="35" w:name="_Toc8573"/>
      <w:bookmarkStart w:id="36" w:name="_Toc10239"/>
      <w:r>
        <w:rPr>
          <w:rFonts w:eastAsia="楷体_GB2312" w:hint="eastAsia"/>
          <w:sz w:val="32"/>
          <w:szCs w:val="32"/>
        </w:rPr>
        <w:t>（五）部门</w:t>
      </w:r>
      <w:r>
        <w:rPr>
          <w:rFonts w:eastAsia="楷体_GB2312"/>
          <w:sz w:val="32"/>
          <w:szCs w:val="32"/>
        </w:rPr>
        <w:t>预决算差异率</w:t>
      </w:r>
      <w:bookmarkEnd w:id="35"/>
      <w:bookmarkEnd w:id="36"/>
    </w:p>
    <w:p w:rsidR="00477B5A" w:rsidRDefault="00241D64">
      <w:pPr>
        <w:pStyle w:val="3"/>
        <w:adjustRightInd w:val="0"/>
        <w:snapToGrid w:val="0"/>
        <w:spacing w:line="360" w:lineRule="auto"/>
        <w:ind w:leftChars="0" w:left="0" w:firstLineChars="200" w:firstLine="640"/>
        <w:rPr>
          <w:rFonts w:eastAsia="仿宋_GB2312"/>
          <w:sz w:val="32"/>
          <w:szCs w:val="32"/>
        </w:rPr>
      </w:pPr>
      <w:r>
        <w:rPr>
          <w:rFonts w:ascii="仿宋_GB2312" w:eastAsia="仿宋_GB2312" w:hAnsi="仿宋_GB2312" w:cs="仿宋_GB2312" w:hint="eastAsia"/>
          <w:sz w:val="32"/>
          <w:szCs w:val="32"/>
        </w:rPr>
        <w:t>2022年北京社院年初支出预算为4035.98万元，部门年度支出决算为3562.02万元，部门预决算差异率为11.74%，部门预决算差异率低于市级平均差异率（28.30%），部门预决算差异率控制情况较好。</w:t>
      </w:r>
    </w:p>
    <w:p w:rsidR="00477B5A" w:rsidRDefault="00241D64">
      <w:pPr>
        <w:adjustRightInd w:val="0"/>
        <w:snapToGrid w:val="0"/>
        <w:spacing w:line="360" w:lineRule="auto"/>
        <w:ind w:leftChars="50" w:left="105" w:firstLineChars="150" w:firstLine="480"/>
        <w:outlineLvl w:val="0"/>
        <w:rPr>
          <w:rFonts w:eastAsia="黑体"/>
          <w:sz w:val="32"/>
          <w:szCs w:val="32"/>
        </w:rPr>
      </w:pPr>
      <w:bookmarkStart w:id="37" w:name="_Toc10123"/>
      <w:bookmarkStart w:id="38" w:name="_Toc17250"/>
      <w:r>
        <w:rPr>
          <w:rFonts w:eastAsia="黑体" w:hint="eastAsia"/>
          <w:sz w:val="32"/>
          <w:szCs w:val="32"/>
        </w:rPr>
        <w:t>五、总体</w:t>
      </w:r>
      <w:r>
        <w:rPr>
          <w:rFonts w:eastAsia="黑体"/>
          <w:sz w:val="32"/>
          <w:szCs w:val="32"/>
        </w:rPr>
        <w:t>评价结论</w:t>
      </w:r>
      <w:bookmarkEnd w:id="37"/>
      <w:bookmarkEnd w:id="38"/>
    </w:p>
    <w:p w:rsidR="00477B5A" w:rsidRDefault="00241D64">
      <w:pPr>
        <w:adjustRightInd w:val="0"/>
        <w:snapToGrid w:val="0"/>
        <w:spacing w:line="360" w:lineRule="auto"/>
        <w:ind w:leftChars="50" w:left="105" w:firstLineChars="150" w:firstLine="480"/>
        <w:outlineLvl w:val="1"/>
        <w:rPr>
          <w:rFonts w:eastAsia="楷体_GB2312"/>
          <w:sz w:val="32"/>
          <w:szCs w:val="32"/>
        </w:rPr>
      </w:pPr>
      <w:bookmarkStart w:id="39" w:name="_Toc1582"/>
      <w:bookmarkStart w:id="40" w:name="_Toc16295"/>
      <w:r>
        <w:rPr>
          <w:rFonts w:eastAsia="楷体_GB2312" w:hint="eastAsia"/>
          <w:sz w:val="32"/>
          <w:szCs w:val="32"/>
        </w:rPr>
        <w:t>（一）评价</w:t>
      </w:r>
      <w:r>
        <w:rPr>
          <w:rFonts w:eastAsia="楷体_GB2312"/>
          <w:sz w:val="32"/>
          <w:szCs w:val="32"/>
        </w:rPr>
        <w:t>得分</w:t>
      </w:r>
      <w:r>
        <w:rPr>
          <w:rFonts w:eastAsia="楷体_GB2312" w:hint="eastAsia"/>
          <w:sz w:val="32"/>
          <w:szCs w:val="32"/>
        </w:rPr>
        <w:t>情况</w:t>
      </w:r>
      <w:bookmarkEnd w:id="39"/>
      <w:bookmarkEnd w:id="40"/>
    </w:p>
    <w:p w:rsidR="00477B5A" w:rsidRDefault="00241D64">
      <w:pPr>
        <w:adjustRightInd w:val="0"/>
        <w:snapToGrid w:val="0"/>
        <w:spacing w:line="360" w:lineRule="auto"/>
        <w:ind w:firstLineChars="200" w:firstLine="640"/>
        <w:rPr>
          <w:rFonts w:eastAsia="仿宋_GB2312"/>
          <w:color w:val="000000"/>
          <w:kern w:val="0"/>
          <w:sz w:val="32"/>
          <w:szCs w:val="32"/>
        </w:rPr>
      </w:pPr>
      <w:r>
        <w:rPr>
          <w:rFonts w:ascii="仿宋_GB2312" w:eastAsia="仿宋_GB2312" w:hAnsi="仿宋_GB2312" w:cs="仿宋_GB2312" w:hint="eastAsia"/>
          <w:color w:val="000000"/>
          <w:kern w:val="0"/>
          <w:sz w:val="32"/>
          <w:szCs w:val="32"/>
        </w:rPr>
        <w:t>2022年北京社院部门整体绩效评价得分为90.41分，综合评价等级为“优”，各一级指标得分情况如下：</w:t>
      </w:r>
    </w:p>
    <w:p w:rsidR="00477B5A" w:rsidRDefault="00241D64">
      <w:pPr>
        <w:adjustRightInd w:val="0"/>
        <w:snapToGrid w:val="0"/>
        <w:spacing w:line="360" w:lineRule="auto"/>
        <w:jc w:val="center"/>
        <w:rPr>
          <w:rFonts w:ascii="黑体" w:eastAsia="黑体" w:hAnsi="黑体" w:cs="黑体"/>
          <w:sz w:val="28"/>
          <w:szCs w:val="28"/>
        </w:rPr>
      </w:pPr>
      <w:r>
        <w:rPr>
          <w:rFonts w:ascii="黑体" w:eastAsia="黑体" w:hAnsi="黑体" w:cs="黑体" w:hint="eastAsia"/>
          <w:bCs/>
          <w:sz w:val="28"/>
          <w:szCs w:val="28"/>
        </w:rPr>
        <w:t>表6：2021年北京社院部门整体绩效评价得分情况表</w:t>
      </w:r>
    </w:p>
    <w:tbl>
      <w:tblPr>
        <w:tblStyle w:val="ab"/>
        <w:tblW w:w="0" w:type="auto"/>
        <w:jc w:val="center"/>
        <w:tblLook w:val="04A0"/>
      </w:tblPr>
      <w:tblGrid>
        <w:gridCol w:w="2335"/>
        <w:gridCol w:w="1675"/>
        <w:gridCol w:w="2073"/>
        <w:gridCol w:w="2073"/>
      </w:tblGrid>
      <w:tr w:rsidR="00477B5A">
        <w:trPr>
          <w:trHeight w:val="454"/>
          <w:jc w:val="center"/>
        </w:trPr>
        <w:tc>
          <w:tcPr>
            <w:tcW w:w="2335" w:type="dxa"/>
            <w:vAlign w:val="center"/>
          </w:tcPr>
          <w:p w:rsidR="00477B5A" w:rsidRDefault="00241D64">
            <w:pPr>
              <w:adjustRightInd w:val="0"/>
              <w:snapToGrid w:val="0"/>
              <w:jc w:val="center"/>
              <w:rPr>
                <w:rFonts w:ascii="宋体" w:hAnsi="宋体" w:cs="宋体"/>
                <w:b/>
                <w:bCs/>
                <w:sz w:val="20"/>
                <w:szCs w:val="20"/>
              </w:rPr>
            </w:pPr>
            <w:r>
              <w:rPr>
                <w:rFonts w:ascii="宋体" w:hAnsi="宋体" w:cs="宋体" w:hint="eastAsia"/>
                <w:b/>
                <w:bCs/>
                <w:sz w:val="20"/>
                <w:szCs w:val="20"/>
              </w:rPr>
              <w:lastRenderedPageBreak/>
              <w:t>一级指标</w:t>
            </w:r>
          </w:p>
        </w:tc>
        <w:tc>
          <w:tcPr>
            <w:tcW w:w="1675" w:type="dxa"/>
            <w:vAlign w:val="center"/>
          </w:tcPr>
          <w:p w:rsidR="00477B5A" w:rsidRDefault="00241D64">
            <w:pPr>
              <w:adjustRightInd w:val="0"/>
              <w:snapToGrid w:val="0"/>
              <w:jc w:val="center"/>
              <w:rPr>
                <w:rFonts w:ascii="宋体" w:hAnsi="宋体" w:cs="宋体"/>
                <w:b/>
                <w:bCs/>
                <w:sz w:val="20"/>
                <w:szCs w:val="20"/>
              </w:rPr>
            </w:pPr>
            <w:r>
              <w:rPr>
                <w:rFonts w:ascii="宋体" w:hAnsi="宋体" w:cs="宋体" w:hint="eastAsia"/>
                <w:b/>
                <w:bCs/>
                <w:sz w:val="20"/>
                <w:szCs w:val="20"/>
              </w:rPr>
              <w:t>分值</w:t>
            </w:r>
          </w:p>
        </w:tc>
        <w:tc>
          <w:tcPr>
            <w:tcW w:w="2073" w:type="dxa"/>
            <w:vAlign w:val="center"/>
          </w:tcPr>
          <w:p w:rsidR="00477B5A" w:rsidRDefault="00241D64">
            <w:pPr>
              <w:adjustRightInd w:val="0"/>
              <w:snapToGrid w:val="0"/>
              <w:jc w:val="center"/>
              <w:rPr>
                <w:rFonts w:ascii="宋体" w:hAnsi="宋体" w:cs="宋体"/>
                <w:b/>
                <w:bCs/>
                <w:sz w:val="20"/>
                <w:szCs w:val="20"/>
              </w:rPr>
            </w:pPr>
            <w:r>
              <w:rPr>
                <w:rFonts w:ascii="宋体" w:hAnsi="宋体" w:cs="宋体" w:hint="eastAsia"/>
                <w:b/>
                <w:bCs/>
                <w:sz w:val="20"/>
                <w:szCs w:val="20"/>
              </w:rPr>
              <w:t>得分</w:t>
            </w:r>
          </w:p>
        </w:tc>
        <w:tc>
          <w:tcPr>
            <w:tcW w:w="2073" w:type="dxa"/>
            <w:vAlign w:val="center"/>
          </w:tcPr>
          <w:p w:rsidR="00477B5A" w:rsidRDefault="00241D64">
            <w:pPr>
              <w:adjustRightInd w:val="0"/>
              <w:snapToGrid w:val="0"/>
              <w:jc w:val="center"/>
              <w:rPr>
                <w:rFonts w:ascii="宋体" w:hAnsi="宋体" w:cs="宋体"/>
                <w:b/>
                <w:bCs/>
                <w:sz w:val="20"/>
                <w:szCs w:val="20"/>
              </w:rPr>
            </w:pPr>
            <w:r>
              <w:rPr>
                <w:rFonts w:ascii="宋体" w:hAnsi="宋体" w:cs="宋体" w:hint="eastAsia"/>
                <w:b/>
                <w:bCs/>
                <w:sz w:val="20"/>
                <w:szCs w:val="20"/>
              </w:rPr>
              <w:t>得分率</w:t>
            </w:r>
          </w:p>
        </w:tc>
      </w:tr>
      <w:tr w:rsidR="00477B5A">
        <w:trPr>
          <w:trHeight w:val="454"/>
          <w:jc w:val="center"/>
        </w:trPr>
        <w:tc>
          <w:tcPr>
            <w:tcW w:w="2335"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当年预算执行情况</w:t>
            </w:r>
          </w:p>
        </w:tc>
        <w:tc>
          <w:tcPr>
            <w:tcW w:w="1675"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20</w:t>
            </w:r>
          </w:p>
        </w:tc>
        <w:tc>
          <w:tcPr>
            <w:tcW w:w="2073"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18.27</w:t>
            </w:r>
          </w:p>
        </w:tc>
        <w:tc>
          <w:tcPr>
            <w:tcW w:w="2073"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91.35%</w:t>
            </w:r>
          </w:p>
        </w:tc>
      </w:tr>
      <w:tr w:rsidR="00477B5A">
        <w:trPr>
          <w:trHeight w:val="454"/>
          <w:jc w:val="center"/>
        </w:trPr>
        <w:tc>
          <w:tcPr>
            <w:tcW w:w="2335"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整体绩效目标实现情况</w:t>
            </w:r>
          </w:p>
        </w:tc>
        <w:tc>
          <w:tcPr>
            <w:tcW w:w="1675"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60</w:t>
            </w:r>
          </w:p>
        </w:tc>
        <w:tc>
          <w:tcPr>
            <w:tcW w:w="2073"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53.14</w:t>
            </w:r>
          </w:p>
        </w:tc>
        <w:tc>
          <w:tcPr>
            <w:tcW w:w="2073"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88.57%</w:t>
            </w:r>
          </w:p>
        </w:tc>
      </w:tr>
      <w:tr w:rsidR="00477B5A">
        <w:trPr>
          <w:trHeight w:val="454"/>
          <w:jc w:val="center"/>
        </w:trPr>
        <w:tc>
          <w:tcPr>
            <w:tcW w:w="2335"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预算管理情况</w:t>
            </w:r>
          </w:p>
        </w:tc>
        <w:tc>
          <w:tcPr>
            <w:tcW w:w="1675"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20</w:t>
            </w:r>
          </w:p>
        </w:tc>
        <w:tc>
          <w:tcPr>
            <w:tcW w:w="2073"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19.00</w:t>
            </w:r>
          </w:p>
        </w:tc>
        <w:tc>
          <w:tcPr>
            <w:tcW w:w="2073" w:type="dxa"/>
            <w:vAlign w:val="center"/>
          </w:tcPr>
          <w:p w:rsidR="00477B5A" w:rsidRDefault="00241D64">
            <w:pPr>
              <w:adjustRightInd w:val="0"/>
              <w:snapToGrid w:val="0"/>
              <w:jc w:val="center"/>
              <w:rPr>
                <w:rFonts w:ascii="宋体" w:hAnsi="宋体" w:cs="宋体"/>
                <w:sz w:val="20"/>
                <w:szCs w:val="20"/>
              </w:rPr>
            </w:pPr>
            <w:r>
              <w:rPr>
                <w:rFonts w:ascii="宋体" w:hAnsi="宋体" w:cs="宋体" w:hint="eastAsia"/>
                <w:sz w:val="20"/>
                <w:szCs w:val="20"/>
              </w:rPr>
              <w:t>95.00%</w:t>
            </w:r>
          </w:p>
        </w:tc>
      </w:tr>
      <w:tr w:rsidR="00477B5A">
        <w:trPr>
          <w:trHeight w:val="454"/>
          <w:jc w:val="center"/>
        </w:trPr>
        <w:tc>
          <w:tcPr>
            <w:tcW w:w="2335" w:type="dxa"/>
            <w:vAlign w:val="center"/>
          </w:tcPr>
          <w:p w:rsidR="00477B5A" w:rsidRDefault="00241D64">
            <w:pPr>
              <w:adjustRightInd w:val="0"/>
              <w:snapToGrid w:val="0"/>
              <w:jc w:val="center"/>
              <w:rPr>
                <w:rFonts w:ascii="宋体" w:hAnsi="宋体" w:cs="宋体"/>
                <w:b/>
                <w:bCs/>
                <w:sz w:val="20"/>
                <w:szCs w:val="20"/>
              </w:rPr>
            </w:pPr>
            <w:r>
              <w:rPr>
                <w:rFonts w:ascii="宋体" w:hAnsi="宋体" w:cs="宋体" w:hint="eastAsia"/>
                <w:b/>
                <w:bCs/>
                <w:sz w:val="20"/>
                <w:szCs w:val="20"/>
              </w:rPr>
              <w:t>合</w:t>
            </w:r>
            <w:r>
              <w:rPr>
                <w:rFonts w:ascii="宋体" w:hAnsi="宋体" w:cs="宋体" w:hint="eastAsia"/>
                <w:b/>
                <w:bCs/>
                <w:sz w:val="20"/>
                <w:szCs w:val="20"/>
              </w:rPr>
              <w:t xml:space="preserve">  </w:t>
            </w:r>
            <w:r>
              <w:rPr>
                <w:rFonts w:ascii="宋体" w:hAnsi="宋体" w:cs="宋体" w:hint="eastAsia"/>
                <w:b/>
                <w:bCs/>
                <w:sz w:val="20"/>
                <w:szCs w:val="20"/>
              </w:rPr>
              <w:t>计</w:t>
            </w:r>
          </w:p>
        </w:tc>
        <w:tc>
          <w:tcPr>
            <w:tcW w:w="1675" w:type="dxa"/>
            <w:vAlign w:val="center"/>
          </w:tcPr>
          <w:p w:rsidR="00477B5A" w:rsidRDefault="00241D64">
            <w:pPr>
              <w:adjustRightInd w:val="0"/>
              <w:snapToGrid w:val="0"/>
              <w:jc w:val="center"/>
              <w:rPr>
                <w:rFonts w:ascii="宋体" w:hAnsi="宋体" w:cs="宋体"/>
                <w:b/>
                <w:bCs/>
                <w:sz w:val="20"/>
                <w:szCs w:val="20"/>
              </w:rPr>
            </w:pPr>
            <w:r>
              <w:rPr>
                <w:rFonts w:ascii="宋体" w:hAnsi="宋体" w:cs="宋体" w:hint="eastAsia"/>
                <w:b/>
                <w:bCs/>
                <w:sz w:val="20"/>
                <w:szCs w:val="20"/>
              </w:rPr>
              <w:t>100</w:t>
            </w:r>
          </w:p>
        </w:tc>
        <w:tc>
          <w:tcPr>
            <w:tcW w:w="2073" w:type="dxa"/>
            <w:vAlign w:val="center"/>
          </w:tcPr>
          <w:p w:rsidR="00477B5A" w:rsidRDefault="00241D64">
            <w:pPr>
              <w:adjustRightInd w:val="0"/>
              <w:snapToGrid w:val="0"/>
              <w:jc w:val="center"/>
              <w:rPr>
                <w:rFonts w:ascii="宋体" w:hAnsi="宋体" w:cs="宋体"/>
                <w:b/>
                <w:bCs/>
                <w:sz w:val="20"/>
                <w:szCs w:val="20"/>
              </w:rPr>
            </w:pPr>
            <w:r>
              <w:rPr>
                <w:rFonts w:ascii="宋体" w:hAnsi="宋体" w:cs="宋体" w:hint="eastAsia"/>
                <w:b/>
                <w:bCs/>
                <w:sz w:val="20"/>
                <w:szCs w:val="20"/>
              </w:rPr>
              <w:t>90.41</w:t>
            </w:r>
          </w:p>
        </w:tc>
        <w:tc>
          <w:tcPr>
            <w:tcW w:w="2073" w:type="dxa"/>
            <w:vAlign w:val="center"/>
          </w:tcPr>
          <w:p w:rsidR="00477B5A" w:rsidRDefault="00241D64">
            <w:pPr>
              <w:adjustRightInd w:val="0"/>
              <w:snapToGrid w:val="0"/>
              <w:jc w:val="center"/>
              <w:rPr>
                <w:rFonts w:ascii="宋体" w:hAnsi="宋体" w:cs="宋体"/>
                <w:b/>
                <w:bCs/>
                <w:sz w:val="20"/>
                <w:szCs w:val="20"/>
              </w:rPr>
            </w:pPr>
            <w:r>
              <w:rPr>
                <w:rFonts w:ascii="宋体" w:hAnsi="宋体" w:cs="宋体" w:hint="eastAsia"/>
                <w:b/>
                <w:bCs/>
                <w:sz w:val="20"/>
                <w:szCs w:val="20"/>
              </w:rPr>
              <w:t>90.41%</w:t>
            </w:r>
          </w:p>
        </w:tc>
      </w:tr>
    </w:tbl>
    <w:p w:rsidR="00477B5A" w:rsidRDefault="00477B5A">
      <w:pPr>
        <w:adjustRightInd w:val="0"/>
        <w:snapToGrid w:val="0"/>
        <w:spacing w:line="360" w:lineRule="auto"/>
        <w:rPr>
          <w:rFonts w:eastAsia="楷体_GB2312"/>
          <w:sz w:val="32"/>
          <w:szCs w:val="32"/>
        </w:rPr>
      </w:pPr>
    </w:p>
    <w:p w:rsidR="00477B5A" w:rsidRDefault="00241D64">
      <w:pPr>
        <w:numPr>
          <w:ilvl w:val="0"/>
          <w:numId w:val="2"/>
        </w:numPr>
        <w:adjustRightInd w:val="0"/>
        <w:snapToGrid w:val="0"/>
        <w:spacing w:line="360" w:lineRule="auto"/>
        <w:ind w:leftChars="50" w:left="105" w:firstLineChars="150" w:firstLine="480"/>
        <w:outlineLvl w:val="1"/>
        <w:rPr>
          <w:rFonts w:eastAsia="楷体_GB2312"/>
          <w:sz w:val="32"/>
          <w:szCs w:val="32"/>
        </w:rPr>
      </w:pPr>
      <w:bookmarkStart w:id="41" w:name="_Toc19234"/>
      <w:bookmarkStart w:id="42" w:name="_Toc17900"/>
      <w:r>
        <w:rPr>
          <w:rFonts w:eastAsia="楷体_GB2312" w:hint="eastAsia"/>
          <w:sz w:val="32"/>
          <w:szCs w:val="32"/>
        </w:rPr>
        <w:t>存在的问题及原因分析</w:t>
      </w:r>
      <w:bookmarkEnd w:id="41"/>
      <w:bookmarkEnd w:id="42"/>
    </w:p>
    <w:p w:rsidR="00477B5A" w:rsidRDefault="00241D64">
      <w:pPr>
        <w:adjustRightInd w:val="0"/>
        <w:snapToGrid w:val="0"/>
        <w:spacing w:line="360" w:lineRule="auto"/>
        <w:ind w:firstLineChars="200" w:firstLine="640"/>
        <w:outlineLvl w:val="2"/>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1.部分工作未能按照年初计划完成</w:t>
      </w:r>
    </w:p>
    <w:p w:rsidR="00477B5A" w:rsidRDefault="00241D6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受新冠疫情、申报相同或类似题目较多、研究力量不足等因素影响，教学培训、课程研究、外单位课题承接、文化参访点开发、出国访谈等工作未能全部完成，年初预期目标无法顺利达成，一定程度上对北京社院提高统战理论研究水平、</w:t>
      </w:r>
      <w:r>
        <w:rPr>
          <w:rFonts w:ascii="仿宋_GB2312" w:eastAsia="仿宋_GB2312" w:hAnsi="仿宋_GB2312" w:cs="仿宋_GB2312" w:hint="eastAsia"/>
          <w:sz w:val="32"/>
          <w:szCs w:val="32"/>
        </w:rPr>
        <w:t>促进中华文化教育交流，</w:t>
      </w:r>
      <w:r>
        <w:rPr>
          <w:rFonts w:ascii="仿宋_GB2312" w:eastAsia="仿宋_GB2312" w:hAnsi="仿宋_GB2312" w:cs="仿宋_GB2312" w:hint="eastAsia"/>
          <w:color w:val="000000"/>
          <w:sz w:val="32"/>
          <w:szCs w:val="32"/>
        </w:rPr>
        <w:t>提升学院影响力、</w:t>
      </w:r>
      <w:r>
        <w:rPr>
          <w:rFonts w:ascii="仿宋_GB2312" w:eastAsia="仿宋_GB2312" w:hAnsi="仿宋_GB2312" w:cs="仿宋_GB2312" w:hint="eastAsia"/>
          <w:color w:val="000000"/>
          <w:kern w:val="0"/>
          <w:sz w:val="32"/>
          <w:szCs w:val="32"/>
        </w:rPr>
        <w:t>提升文化影响力等方面履职效果实现形成制约。</w:t>
      </w:r>
    </w:p>
    <w:p w:rsidR="00477B5A" w:rsidRDefault="00241D64">
      <w:pPr>
        <w:adjustRightInd w:val="0"/>
        <w:snapToGrid w:val="0"/>
        <w:spacing w:line="360" w:lineRule="auto"/>
        <w:ind w:firstLineChars="200" w:firstLine="640"/>
        <w:outlineLvl w:val="2"/>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2.资金使用和合同签署不够规范</w:t>
      </w:r>
    </w:p>
    <w:p w:rsidR="00477B5A" w:rsidRDefault="00241D6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年度工作任务开展过程中，北京社院能够按照单位内部各项财务管理制度和业务管理制度相关规定执行，但个别项目资金使用与合同签署需进一步规范：一是个别项目经费未根据本项目实际需求将相关费用在项目中予以明确，在不同项目中予以合理分摊；二是个别委托业务合同存在未填写签订日期，并缺少甲乙双方签字现象。</w:t>
      </w:r>
    </w:p>
    <w:p w:rsidR="00477B5A" w:rsidRDefault="00241D64">
      <w:pPr>
        <w:adjustRightInd w:val="0"/>
        <w:snapToGrid w:val="0"/>
        <w:spacing w:line="360" w:lineRule="auto"/>
        <w:ind w:firstLineChars="200" w:firstLine="640"/>
        <w:outlineLvl w:val="2"/>
        <w:rPr>
          <w:rFonts w:ascii="仿宋_GB2312" w:eastAsia="仿宋_GB2312" w:hAnsi="仿宋_GB2312" w:cs="仿宋_GB2312"/>
          <w:color w:val="000000"/>
          <w:kern w:val="0"/>
          <w:sz w:val="32"/>
          <w:szCs w:val="32"/>
        </w:rPr>
      </w:pPr>
      <w:bookmarkStart w:id="43" w:name="_Toc7951"/>
      <w:r>
        <w:rPr>
          <w:rFonts w:ascii="仿宋_GB2312" w:eastAsia="仿宋_GB2312" w:hAnsi="仿宋_GB2312" w:cs="仿宋_GB2312" w:hint="eastAsia"/>
          <w:color w:val="000000"/>
          <w:kern w:val="0"/>
          <w:sz w:val="32"/>
          <w:szCs w:val="32"/>
        </w:rPr>
        <w:t>3.绩效目标设置不够完善</w:t>
      </w:r>
    </w:p>
    <w:p w:rsidR="00477B5A" w:rsidRDefault="00241D64">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本次绩效评价工作所涉及的项目均设置了绩效目标，大</w:t>
      </w:r>
      <w:r>
        <w:rPr>
          <w:rFonts w:ascii="仿宋_GB2312" w:eastAsia="仿宋_GB2312" w:hAnsi="仿宋_GB2312" w:cs="仿宋_GB2312" w:hint="eastAsia"/>
          <w:sz w:val="32"/>
          <w:szCs w:val="32"/>
        </w:rPr>
        <w:lastRenderedPageBreak/>
        <w:t>部分项目绩效目标设置清晰、明确，绩效指标较为细化、量化。但部分项目绩效指标设置需进一步完善：一是指标设置不全面，部分项目支出绩效目标申报表未能针对年度拟开展工作内容设置相应的数量指标，无法体现项目主要产出；二是部分效益指标缺乏对效益内容的量化表述，可考核性不强，且个别项目指标值设置不够准确，满意度指标未明确具体服务对象或受益对象；三是个别项目质量指标和满意度指标混淆。</w:t>
      </w:r>
    </w:p>
    <w:p w:rsidR="00477B5A" w:rsidRDefault="00241D64">
      <w:pPr>
        <w:adjustRightInd w:val="0"/>
        <w:snapToGrid w:val="0"/>
        <w:spacing w:line="360" w:lineRule="auto"/>
        <w:ind w:firstLineChars="200" w:firstLine="640"/>
        <w:outlineLvl w:val="0"/>
        <w:rPr>
          <w:rFonts w:eastAsia="仿宋_GB2312"/>
          <w:sz w:val="32"/>
          <w:szCs w:val="32"/>
          <w:lang/>
        </w:rPr>
      </w:pPr>
      <w:bookmarkStart w:id="44" w:name="_Toc12190"/>
      <w:r>
        <w:rPr>
          <w:rFonts w:eastAsia="黑体" w:hint="eastAsia"/>
          <w:color w:val="000000"/>
          <w:kern w:val="0"/>
          <w:sz w:val="32"/>
          <w:szCs w:val="32"/>
        </w:rPr>
        <w:t>六、措施建议</w:t>
      </w:r>
      <w:bookmarkEnd w:id="43"/>
      <w:bookmarkEnd w:id="44"/>
    </w:p>
    <w:p w:rsidR="00477B5A" w:rsidRDefault="00241D64">
      <w:pPr>
        <w:adjustRightInd w:val="0"/>
        <w:snapToGrid w:val="0"/>
        <w:spacing w:line="360" w:lineRule="auto"/>
        <w:ind w:firstLineChars="200" w:firstLine="640"/>
        <w:outlineLvl w:val="1"/>
        <w:rPr>
          <w:rFonts w:ascii="楷体_GB2312" w:eastAsia="楷体_GB2312" w:hAnsi="仿宋_GB2312" w:cs="仿宋_GB2312"/>
          <w:sz w:val="32"/>
          <w:szCs w:val="32"/>
        </w:rPr>
      </w:pPr>
      <w:bookmarkStart w:id="45" w:name="_Toc9805"/>
      <w:bookmarkStart w:id="46" w:name="_Toc1383"/>
      <w:r>
        <w:rPr>
          <w:rFonts w:eastAsia="楷体_GB2312" w:hint="eastAsia"/>
          <w:sz w:val="32"/>
          <w:szCs w:val="32"/>
        </w:rPr>
        <w:t>（一）</w:t>
      </w:r>
      <w:r>
        <w:rPr>
          <w:rFonts w:ascii="楷体_GB2312" w:eastAsia="楷体_GB2312" w:hAnsi="仿宋_GB2312" w:cs="仿宋_GB2312" w:hint="eastAsia"/>
          <w:sz w:val="32"/>
          <w:szCs w:val="32"/>
        </w:rPr>
        <w:t>及时做好纠偏措施，确保部门履职绩效顺利达成</w:t>
      </w:r>
      <w:bookmarkEnd w:id="45"/>
    </w:p>
    <w:bookmarkEnd w:id="46"/>
    <w:p w:rsidR="00477B5A" w:rsidRDefault="00241D64">
      <w:pPr>
        <w:adjustRightInd w:val="0"/>
        <w:snapToGrid w:val="0"/>
        <w:spacing w:line="360" w:lineRule="auto"/>
        <w:ind w:firstLineChars="200" w:firstLine="640"/>
      </w:pPr>
      <w:r>
        <w:rPr>
          <w:rFonts w:eastAsia="仿宋_GB2312" w:hint="eastAsia"/>
          <w:color w:val="000000"/>
          <w:kern w:val="0"/>
          <w:sz w:val="32"/>
          <w:szCs w:val="32"/>
        </w:rPr>
        <w:t>北京社院为确保</w:t>
      </w:r>
      <w:r>
        <w:rPr>
          <w:rFonts w:ascii="仿宋_GB2312" w:eastAsia="仿宋_GB2312" w:hAnsi="仿宋_GB2312" w:cs="仿宋_GB2312" w:hint="eastAsia"/>
          <w:sz w:val="32"/>
          <w:szCs w:val="32"/>
        </w:rPr>
        <w:t>部门履职绩效</w:t>
      </w:r>
      <w:r>
        <w:rPr>
          <w:rFonts w:eastAsia="仿宋_GB2312" w:hint="eastAsia"/>
          <w:color w:val="000000"/>
          <w:kern w:val="0"/>
          <w:sz w:val="32"/>
          <w:szCs w:val="32"/>
        </w:rPr>
        <w:t>顺利达成，</w:t>
      </w:r>
      <w:r>
        <w:rPr>
          <w:rFonts w:ascii="仿宋_GB2312" w:eastAsia="仿宋_GB2312" w:hAnsi="仿宋_GB2312" w:cs="仿宋_GB2312" w:hint="eastAsia"/>
          <w:sz w:val="32"/>
          <w:szCs w:val="32"/>
        </w:rPr>
        <w:t>在下一年度工作开展中，根据年度拟开展重点任务合理制订工作计划，并</w:t>
      </w:r>
      <w:r>
        <w:rPr>
          <w:rFonts w:ascii="仿宋_GB2312" w:eastAsia="仿宋_GB2312" w:hAnsi="宋体" w:cs="宋体" w:hint="eastAsia"/>
          <w:color w:val="000000"/>
          <w:kern w:val="0"/>
          <w:sz w:val="32"/>
          <w:szCs w:val="32"/>
        </w:rPr>
        <w:t>及时跟进工作实施进度，针对实施进度滞后情况，及时做好纠偏措施，加快后续项目执行进度，确保项目如期完成。</w:t>
      </w:r>
      <w:r>
        <w:rPr>
          <w:rFonts w:eastAsia="仿宋_GB2312" w:hint="eastAsia"/>
          <w:sz w:val="32"/>
          <w:szCs w:val="32"/>
        </w:rPr>
        <w:t>同时，如遇特殊因素造成部分工作内容无法按照预期顺利开展，影响年度绩效目标实现情形，</w:t>
      </w:r>
      <w:r>
        <w:rPr>
          <w:rFonts w:ascii="仿宋_GB2312" w:eastAsia="仿宋_GB2312" w:hAnsi="宋体" w:cs="宋体" w:hint="eastAsia"/>
          <w:color w:val="000000"/>
          <w:kern w:val="0"/>
          <w:sz w:val="32"/>
          <w:szCs w:val="32"/>
        </w:rPr>
        <w:t>视情况及时调整工作计划或工作开展形式，保证各项工作能够保质、保量完成。</w:t>
      </w:r>
    </w:p>
    <w:p w:rsidR="00477B5A" w:rsidRDefault="00241D64">
      <w:pPr>
        <w:adjustRightInd w:val="0"/>
        <w:snapToGrid w:val="0"/>
        <w:spacing w:line="360" w:lineRule="auto"/>
        <w:ind w:firstLineChars="200" w:firstLine="640"/>
        <w:outlineLvl w:val="1"/>
        <w:rPr>
          <w:rFonts w:eastAsia="楷体_GB2312"/>
          <w:sz w:val="32"/>
          <w:szCs w:val="32"/>
        </w:rPr>
      </w:pPr>
      <w:bookmarkStart w:id="47" w:name="_Toc32665"/>
      <w:bookmarkStart w:id="48" w:name="_Toc23370"/>
      <w:r>
        <w:rPr>
          <w:rFonts w:eastAsia="楷体_GB2312" w:hint="eastAsia"/>
          <w:sz w:val="32"/>
          <w:szCs w:val="32"/>
        </w:rPr>
        <w:t>（二）</w:t>
      </w:r>
      <w:bookmarkEnd w:id="47"/>
      <w:r>
        <w:rPr>
          <w:rFonts w:eastAsia="楷体_GB2312" w:hint="eastAsia"/>
          <w:sz w:val="32"/>
          <w:szCs w:val="32"/>
        </w:rPr>
        <w:t>合理预算编制，</w:t>
      </w:r>
      <w:bookmarkEnd w:id="48"/>
      <w:r>
        <w:rPr>
          <w:rFonts w:eastAsia="楷体_GB2312" w:hint="eastAsia"/>
          <w:sz w:val="32"/>
          <w:szCs w:val="32"/>
        </w:rPr>
        <w:t>加强合同管理</w:t>
      </w:r>
    </w:p>
    <w:p w:rsidR="00477B5A" w:rsidRDefault="00241D64">
      <w:pPr>
        <w:tabs>
          <w:tab w:val="left" w:pos="150"/>
        </w:tabs>
        <w:adjustRightInd w:val="0"/>
        <w:snapToGrid w:val="0"/>
        <w:spacing w:line="360" w:lineRule="auto"/>
        <w:ind w:firstLineChars="200" w:firstLine="640"/>
        <w:rPr>
          <w:rFonts w:eastAsia="仿宋_GB2312"/>
          <w:sz w:val="32"/>
          <w:szCs w:val="32"/>
        </w:rPr>
      </w:pPr>
      <w:r>
        <w:rPr>
          <w:rFonts w:eastAsia="仿宋_GB2312" w:hint="eastAsia"/>
          <w:sz w:val="32"/>
          <w:szCs w:val="32"/>
        </w:rPr>
        <w:t>北京社院在后续年度按照各项目实际需求，将相关费用在不同项目中进行合理分摊，提高年度预算编制合理性。此外，加大</w:t>
      </w:r>
      <w:r>
        <w:rPr>
          <w:rFonts w:ascii="仿宋_GB2312" w:eastAsia="仿宋_GB2312" w:hAnsi="仿宋_GB2312" w:cs="仿宋_GB2312" w:hint="eastAsia"/>
          <w:sz w:val="32"/>
          <w:szCs w:val="32"/>
        </w:rPr>
        <w:t>合同管理力度，</w:t>
      </w:r>
      <w:r>
        <w:rPr>
          <w:rFonts w:eastAsia="仿宋_GB2312" w:hint="eastAsia"/>
          <w:sz w:val="32"/>
          <w:szCs w:val="32"/>
        </w:rPr>
        <w:t>严格落实合同各项管理规定，对合同审批、签订、履行等环节进行监督检查和审查，并严格规</w:t>
      </w:r>
      <w:r>
        <w:rPr>
          <w:rFonts w:eastAsia="仿宋_GB2312" w:hint="eastAsia"/>
          <w:sz w:val="32"/>
          <w:szCs w:val="32"/>
        </w:rPr>
        <w:lastRenderedPageBreak/>
        <w:t>范合同条款内容，明确合同具体签订日期和甲乙双方代表，确保合同签署要素齐全，提升合同管理水平。</w:t>
      </w:r>
    </w:p>
    <w:p w:rsidR="00477B5A" w:rsidRDefault="00241D64">
      <w:pPr>
        <w:adjustRightInd w:val="0"/>
        <w:snapToGrid w:val="0"/>
        <w:spacing w:line="360" w:lineRule="auto"/>
        <w:ind w:firstLineChars="200" w:firstLine="640"/>
        <w:outlineLvl w:val="1"/>
        <w:rPr>
          <w:rFonts w:eastAsia="楷体_GB2312"/>
          <w:sz w:val="32"/>
          <w:szCs w:val="32"/>
        </w:rPr>
      </w:pPr>
      <w:bookmarkStart w:id="49" w:name="_Toc10367"/>
      <w:bookmarkStart w:id="50" w:name="_Toc8426"/>
      <w:r>
        <w:rPr>
          <w:rFonts w:eastAsia="楷体_GB2312" w:hint="eastAsia"/>
          <w:sz w:val="32"/>
          <w:szCs w:val="32"/>
        </w:rPr>
        <w:t>（三）</w:t>
      </w:r>
      <w:r>
        <w:rPr>
          <w:rFonts w:ascii="楷体_GB2312" w:eastAsia="楷体_GB2312" w:hAnsi="仿宋_GB2312" w:cs="仿宋_GB2312" w:hint="eastAsia"/>
          <w:sz w:val="32"/>
          <w:szCs w:val="32"/>
        </w:rPr>
        <w:t>完善绩效目标及指标设置，科学合理设置绩效目标</w:t>
      </w:r>
      <w:bookmarkEnd w:id="49"/>
      <w:bookmarkEnd w:id="50"/>
    </w:p>
    <w:p w:rsidR="00477B5A" w:rsidRDefault="00241D64">
      <w:pPr>
        <w:adjustRightInd w:val="0"/>
        <w:snapToGrid w:val="0"/>
        <w:spacing w:line="360" w:lineRule="auto"/>
        <w:ind w:firstLineChars="200" w:firstLine="640"/>
        <w:rPr>
          <w:rFonts w:eastAsia="黑体"/>
          <w:sz w:val="32"/>
          <w:szCs w:val="32"/>
        </w:rPr>
      </w:pPr>
      <w:r>
        <w:rPr>
          <w:rFonts w:eastAsia="仿宋_GB2312" w:hint="eastAsia"/>
          <w:sz w:val="32"/>
          <w:szCs w:val="32"/>
        </w:rPr>
        <w:t>一方面，北京社院在以后年度</w:t>
      </w:r>
      <w:r>
        <w:rPr>
          <w:rFonts w:ascii="仿宋_GB2312" w:eastAsia="仿宋_GB2312" w:hAnsi="仿宋" w:hint="eastAsia"/>
          <w:sz w:val="32"/>
          <w:szCs w:val="32"/>
        </w:rPr>
        <w:t>结合项目年度工作计划和重点工作任务，全面梳理各项目的主要产出和效益，合理设置年度绩效目标和指标，并尽可能细化、量化，充分体现工作产出和预期实现效果。另一方面，</w:t>
      </w:r>
      <w:r>
        <w:rPr>
          <w:rFonts w:ascii="仿宋_GB2312" w:eastAsia="仿宋_GB2312" w:hAnsi="仿宋_GB2312" w:cs="仿宋_GB2312" w:hint="eastAsia"/>
          <w:sz w:val="32"/>
          <w:szCs w:val="32"/>
        </w:rPr>
        <w:t>多举措提升项目支出绩效目标申报表填报水平：一是加强绩效目标编报的指导和培训工作，多层次组织绩效目标相关专题的培训学习，确保绩效理念及相关要求落实到项目负责人；二是进一步加强绩效目标审核力度，规范绩效目标申报表填报形式，提高绩效目标科学性、合理性。</w:t>
      </w:r>
      <w:bookmarkStart w:id="51" w:name="_Toc13001"/>
      <w:bookmarkStart w:id="52" w:name="_Toc15063"/>
    </w:p>
    <w:p w:rsidR="00477B5A" w:rsidRDefault="00241D64">
      <w:pPr>
        <w:adjustRightInd w:val="0"/>
        <w:snapToGrid w:val="0"/>
        <w:spacing w:line="360" w:lineRule="auto"/>
        <w:ind w:firstLineChars="200" w:firstLine="640"/>
        <w:jc w:val="left"/>
        <w:outlineLvl w:val="0"/>
        <w:rPr>
          <w:rFonts w:eastAsia="黑体"/>
          <w:sz w:val="32"/>
          <w:szCs w:val="32"/>
        </w:rPr>
      </w:pPr>
      <w:bookmarkStart w:id="53" w:name="_Toc18181"/>
      <w:bookmarkStart w:id="54" w:name="_Toc22054"/>
      <w:bookmarkStart w:id="55" w:name="_Toc1888"/>
      <w:bookmarkStart w:id="56" w:name="_Toc21298"/>
      <w:r>
        <w:rPr>
          <w:rFonts w:eastAsia="黑体"/>
          <w:sz w:val="32"/>
          <w:szCs w:val="32"/>
        </w:rPr>
        <w:t>七、附件</w:t>
      </w:r>
      <w:bookmarkEnd w:id="53"/>
      <w:bookmarkEnd w:id="54"/>
      <w:bookmarkEnd w:id="55"/>
      <w:bookmarkEnd w:id="56"/>
    </w:p>
    <w:p w:rsidR="00477B5A" w:rsidRDefault="00241D64">
      <w:pPr>
        <w:adjustRightInd w:val="0"/>
        <w:snapToGrid w:val="0"/>
        <w:spacing w:line="360" w:lineRule="auto"/>
        <w:ind w:firstLineChars="200" w:firstLine="640"/>
        <w:jc w:val="left"/>
        <w:rPr>
          <w:rFonts w:ascii="仿宋_GB2312" w:eastAsia="仿宋_GB2312" w:hAnsi="仿宋_GB2312" w:cs="仿宋_GB2312"/>
          <w:sz w:val="32"/>
          <w:szCs w:val="32"/>
        </w:rPr>
      </w:pPr>
      <w:r>
        <w:rPr>
          <w:rFonts w:eastAsia="仿宋_GB2312"/>
          <w:color w:val="000000" w:themeColor="text1"/>
          <w:sz w:val="32"/>
          <w:szCs w:val="32"/>
        </w:rPr>
        <w:t>附件：</w:t>
      </w:r>
      <w:r>
        <w:rPr>
          <w:rFonts w:eastAsia="仿宋_GB2312" w:hint="eastAsia"/>
          <w:color w:val="000000" w:themeColor="text1"/>
          <w:sz w:val="32"/>
          <w:szCs w:val="32"/>
        </w:rPr>
        <w:t>北京社会主义学院</w:t>
      </w:r>
      <w:r>
        <w:rPr>
          <w:rFonts w:ascii="仿宋_GB2312" w:eastAsia="仿宋_GB2312" w:hAnsi="仿宋_GB2312" w:cs="仿宋_GB2312" w:hint="eastAsia"/>
          <w:color w:val="000000" w:themeColor="text1"/>
          <w:sz w:val="32"/>
          <w:szCs w:val="32"/>
        </w:rPr>
        <w:t>2022年</w:t>
      </w:r>
      <w:r>
        <w:rPr>
          <w:rFonts w:eastAsia="仿宋_GB2312" w:hint="eastAsia"/>
          <w:color w:val="000000" w:themeColor="text1"/>
          <w:sz w:val="32"/>
          <w:szCs w:val="32"/>
        </w:rPr>
        <w:t>部门整体绩效评价指标体系评分表</w:t>
      </w:r>
    </w:p>
    <w:p w:rsidR="00477B5A" w:rsidRDefault="00477B5A">
      <w:pPr>
        <w:pStyle w:val="a4"/>
        <w:adjustRightInd w:val="0"/>
        <w:snapToGrid w:val="0"/>
        <w:spacing w:line="360" w:lineRule="auto"/>
        <w:sectPr w:rsidR="00477B5A">
          <w:footerReference w:type="default" r:id="rId11"/>
          <w:pgSz w:w="11906" w:h="16838"/>
          <w:pgMar w:top="1440" w:right="1800" w:bottom="1440" w:left="1800" w:header="851" w:footer="992" w:gutter="0"/>
          <w:pgNumType w:start="1"/>
          <w:cols w:space="425"/>
          <w:docGrid w:type="lines" w:linePitch="312"/>
        </w:sectPr>
      </w:pPr>
    </w:p>
    <w:bookmarkEnd w:id="51"/>
    <w:bookmarkEnd w:id="52"/>
    <w:p w:rsidR="00477B5A" w:rsidRDefault="00241D64">
      <w:pPr>
        <w:adjustRightInd w:val="0"/>
        <w:snapToGrid w:val="0"/>
        <w:spacing w:line="360" w:lineRule="auto"/>
        <w:jc w:val="center"/>
        <w:rPr>
          <w:rFonts w:eastAsia="黑体"/>
          <w:color w:val="000000" w:themeColor="text1"/>
          <w:sz w:val="28"/>
          <w:szCs w:val="28"/>
        </w:rPr>
      </w:pPr>
      <w:r>
        <w:rPr>
          <w:rFonts w:eastAsia="黑体" w:hint="eastAsia"/>
          <w:color w:val="000000" w:themeColor="text1"/>
          <w:sz w:val="28"/>
          <w:szCs w:val="28"/>
        </w:rPr>
        <w:lastRenderedPageBreak/>
        <w:t>附件：北京社会主义学院</w:t>
      </w:r>
      <w:r>
        <w:rPr>
          <w:rFonts w:eastAsia="黑体" w:hint="eastAsia"/>
          <w:color w:val="000000" w:themeColor="text1"/>
          <w:sz w:val="28"/>
          <w:szCs w:val="28"/>
        </w:rPr>
        <w:t>2022</w:t>
      </w:r>
      <w:r>
        <w:rPr>
          <w:rFonts w:eastAsia="黑体" w:hint="eastAsia"/>
          <w:color w:val="000000" w:themeColor="text1"/>
          <w:sz w:val="28"/>
          <w:szCs w:val="28"/>
        </w:rPr>
        <w:t>年部门整体绩效评价指标体系评分表</w:t>
      </w:r>
    </w:p>
    <w:p w:rsidR="00477B5A" w:rsidRDefault="00477B5A">
      <w:pPr>
        <w:adjustRightInd w:val="0"/>
        <w:snapToGrid w:val="0"/>
        <w:spacing w:line="20" w:lineRule="exact"/>
      </w:pPr>
    </w:p>
    <w:tbl>
      <w:tblPr>
        <w:tblW w:w="0" w:type="auto"/>
        <w:jc w:val="center"/>
        <w:tblLook w:val="04A0"/>
      </w:tblPr>
      <w:tblGrid>
        <w:gridCol w:w="952"/>
        <w:gridCol w:w="919"/>
        <w:gridCol w:w="1236"/>
        <w:gridCol w:w="980"/>
        <w:gridCol w:w="887"/>
        <w:gridCol w:w="618"/>
        <w:gridCol w:w="720"/>
        <w:gridCol w:w="2394"/>
        <w:gridCol w:w="3288"/>
        <w:gridCol w:w="2180"/>
      </w:tblGrid>
      <w:tr w:rsidR="00477B5A">
        <w:trPr>
          <w:cantSplit/>
          <w:trHeight w:val="454"/>
          <w:jc w:val="center"/>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rPr>
              <w:t>一、当年预算执行情况（20分）</w:t>
            </w:r>
          </w:p>
        </w:tc>
      </w:tr>
      <w:tr w:rsidR="00477B5A">
        <w:trPr>
          <w:cantSplit/>
          <w:trHeight w:val="454"/>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 xml:space="preserve">一级指标　</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 xml:space="preserve">二级指标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预算数（万元）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执行数（万元）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预算执行率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分值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得分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指标解释</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评分标准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备注</w:t>
            </w:r>
          </w:p>
        </w:tc>
      </w:tr>
      <w:tr w:rsidR="00477B5A">
        <w:trPr>
          <w:cantSplit/>
          <w:trHeight w:val="1677"/>
          <w:jc w:val="center"/>
        </w:trPr>
        <w:tc>
          <w:tcPr>
            <w:tcW w:w="9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当年预算执行情况（20）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资金总体</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3900.08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3562.02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91.33%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20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18.27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部门全年执行数与全年预算数的比率。资金总体=基本支出+项目支出+其他</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①得分一档最高不能超过该指标分值上限（20分）。</w:t>
            </w:r>
            <w:r>
              <w:rPr>
                <w:rFonts w:ascii="宋体" w:hAnsi="宋体" w:cs="宋体" w:hint="eastAsia"/>
                <w:color w:val="000000"/>
                <w:kern w:val="0"/>
                <w:sz w:val="20"/>
                <w:szCs w:val="20"/>
                <w:lang/>
              </w:rPr>
              <w:br/>
              <w:t>②该指标若为正向指标，则得分计算方法应用全年实际值（B）/年度指标值（A）*该指标分值；若定量指标为反向指标，则得分计算方法应用年度指标值（A）/全年实际值（B）*该指标分值。若年初指标值设定偏低，则得分计算方法应用（全年实际值（B）—年度指标值（A））/年度指标值（A）*100%。若计算结果在200%-300%（含200%）区间，则按照该指标分值的10%扣分；计算结果在300%-500%（含300%）区间，则按照该指标分值的20%扣分；计算结果高于500%（含500%），则按照该指标分值的30%扣分。</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r>
      <w:tr w:rsidR="00477B5A">
        <w:trPr>
          <w:cantSplit/>
          <w:trHeight w:val="1699"/>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基本支出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2658.20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2496.98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477B5A">
            <w:pPr>
              <w:widowControl/>
              <w:adjustRightInd w:val="0"/>
              <w:snapToGrid w:val="0"/>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477B5A">
            <w:pPr>
              <w:widowControl/>
              <w:adjustRightInd w:val="0"/>
              <w:snapToGrid w:val="0"/>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477B5A">
            <w:pPr>
              <w:widowControl/>
              <w:adjustRightInd w:val="0"/>
              <w:snapToGrid w:val="0"/>
              <w:jc w:val="left"/>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477B5A">
            <w:pPr>
              <w:widowControl/>
              <w:adjustRightInd w:val="0"/>
              <w:snapToGrid w:val="0"/>
              <w:jc w:val="left"/>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r>
      <w:tr w:rsidR="00477B5A">
        <w:trPr>
          <w:cantSplit/>
          <w:trHeight w:val="1474"/>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项目支出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1241.88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1065.04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477B5A">
            <w:pPr>
              <w:widowControl/>
              <w:adjustRightInd w:val="0"/>
              <w:snapToGrid w:val="0"/>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477B5A">
            <w:pPr>
              <w:widowControl/>
              <w:adjustRightInd w:val="0"/>
              <w:snapToGrid w:val="0"/>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477B5A">
            <w:pPr>
              <w:widowControl/>
              <w:adjustRightInd w:val="0"/>
              <w:snapToGrid w:val="0"/>
              <w:jc w:val="left"/>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477B5A">
            <w:pPr>
              <w:widowControl/>
              <w:adjustRightInd w:val="0"/>
              <w:snapToGrid w:val="0"/>
              <w:jc w:val="left"/>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r>
      <w:tr w:rsidR="00477B5A">
        <w:trPr>
          <w:cantSplit/>
          <w:trHeight w:val="1549"/>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其他</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0.00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477B5A">
            <w:pPr>
              <w:widowControl/>
              <w:adjustRightInd w:val="0"/>
              <w:snapToGrid w:val="0"/>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477B5A">
            <w:pPr>
              <w:widowControl/>
              <w:adjustRightInd w:val="0"/>
              <w:snapToGrid w:val="0"/>
              <w:jc w:val="center"/>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477B5A">
            <w:pPr>
              <w:widowControl/>
              <w:adjustRightInd w:val="0"/>
              <w:snapToGrid w:val="0"/>
              <w:jc w:val="left"/>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477B5A">
            <w:pPr>
              <w:widowControl/>
              <w:adjustRightInd w:val="0"/>
              <w:snapToGrid w:val="0"/>
              <w:jc w:val="left"/>
              <w:rPr>
                <w:rFonts w:ascii="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r>
      <w:tr w:rsidR="00477B5A">
        <w:trPr>
          <w:cantSplit/>
          <w:trHeight w:val="454"/>
          <w:jc w:val="center"/>
        </w:trPr>
        <w:tc>
          <w:tcPr>
            <w:tcW w:w="0" w:type="auto"/>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rPr>
              <w:lastRenderedPageBreak/>
              <w:t>二、整体绩效目标实现情况（60分）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477B5A">
            <w:pPr>
              <w:widowControl/>
              <w:adjustRightInd w:val="0"/>
              <w:snapToGrid w:val="0"/>
              <w:jc w:val="center"/>
              <w:rPr>
                <w:rFonts w:ascii="宋体" w:hAnsi="宋体" w:cs="宋体"/>
                <w:b/>
                <w:bCs/>
                <w:color w:val="000000"/>
                <w:sz w:val="20"/>
                <w:szCs w:val="20"/>
              </w:rPr>
            </w:pPr>
          </w:p>
        </w:tc>
      </w:tr>
      <w:tr w:rsidR="00477B5A">
        <w:trPr>
          <w:cantSplit/>
          <w:trHeight w:val="454"/>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一级指标</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 xml:space="preserve">二级指标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 xml:space="preserve">三级指标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指标值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完成值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分值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得分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指标解释</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评分标准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备注</w:t>
            </w:r>
          </w:p>
        </w:tc>
      </w:tr>
      <w:tr w:rsidR="00477B5A">
        <w:trPr>
          <w:cantSplit/>
          <w:trHeight w:val="454"/>
          <w:jc w:val="center"/>
        </w:trPr>
        <w:tc>
          <w:tcPr>
            <w:tcW w:w="952" w:type="dxa"/>
            <w:vMerge w:val="restart"/>
            <w:tcBorders>
              <w:top w:val="single" w:sz="4" w:space="0" w:color="000000"/>
              <w:left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整体绩效目标实现情况（60）</w:t>
            </w:r>
          </w:p>
        </w:tc>
        <w:tc>
          <w:tcPr>
            <w:tcW w:w="919" w:type="dxa"/>
            <w:vMerge w:val="restart"/>
            <w:tcBorders>
              <w:top w:val="single" w:sz="4" w:space="0" w:color="000000"/>
              <w:left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产出（30）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教学培训与课程创新方面</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4.58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4.58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b/>
                <w:bCs/>
                <w:color w:val="000000"/>
                <w:sz w:val="20"/>
                <w:szCs w:val="20"/>
              </w:rPr>
            </w:pPr>
            <w:r>
              <w:rPr>
                <w:rStyle w:val="font21"/>
                <w:rFonts w:hint="default"/>
                <w:lang/>
              </w:rPr>
              <w:t>产出数量</w:t>
            </w:r>
            <w:r>
              <w:rPr>
                <w:rFonts w:ascii="宋体" w:hAnsi="宋体" w:cs="宋体" w:hint="eastAsia"/>
                <w:color w:val="000000"/>
                <w:kern w:val="0"/>
                <w:sz w:val="20"/>
                <w:szCs w:val="20"/>
                <w:lang/>
              </w:rPr>
              <w:t>：计划完成率=（实际完成工作数/计划工作数）×100%。实际完成工作数：一定时期（年度或规划期）内部门（单位）实际完成工作任务的数量。计划工作数：部门（单位）整体绩效目标确定的一定时期（年度或规划期）内预计完成工作任务的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得分＝完成率*6分，超过6分的按6分计。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受疫情影响，线下培训班次减少，培训人数低于预期，实际培训天数低于年初目标。</w:t>
            </w:r>
          </w:p>
        </w:tc>
      </w:tr>
      <w:tr w:rsidR="00477B5A">
        <w:trPr>
          <w:cantSplit/>
          <w:trHeight w:val="454"/>
          <w:jc w:val="center"/>
        </w:trPr>
        <w:tc>
          <w:tcPr>
            <w:tcW w:w="952" w:type="dxa"/>
            <w:vMerge/>
            <w:tcBorders>
              <w:left w:val="single" w:sz="4" w:space="0" w:color="000000"/>
              <w:right w:val="single" w:sz="4" w:space="0" w:color="000000"/>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919" w:type="dxa"/>
            <w:vMerge/>
            <w:tcBorders>
              <w:left w:val="single" w:sz="4" w:space="0" w:color="000000"/>
              <w:right w:val="single" w:sz="4" w:space="0" w:color="000000"/>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课题研究与理论研讨方面</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1.63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3.26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477B5A">
            <w:pPr>
              <w:widowControl/>
              <w:adjustRightInd w:val="0"/>
              <w:snapToGrid w:val="0"/>
              <w:jc w:val="left"/>
              <w:rPr>
                <w:rFonts w:ascii="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得分＝完成率*4分，超过4分的按4分计。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因申报相同或类似题目较多、研究力量不足等原因，仅立项27个题目，未达到年初计划29个课题研究目标；受疫情影响，承接外单位课题数未能达到预期目标。</w:t>
            </w:r>
          </w:p>
        </w:tc>
      </w:tr>
      <w:tr w:rsidR="00477B5A">
        <w:trPr>
          <w:cantSplit/>
          <w:trHeight w:val="454"/>
          <w:jc w:val="center"/>
        </w:trPr>
        <w:tc>
          <w:tcPr>
            <w:tcW w:w="952" w:type="dxa"/>
            <w:vMerge/>
            <w:tcBorders>
              <w:left w:val="single" w:sz="4" w:space="0" w:color="000000"/>
              <w:right w:val="single" w:sz="4" w:space="0" w:color="000000"/>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919" w:type="dxa"/>
            <w:vMerge/>
            <w:tcBorders>
              <w:left w:val="single" w:sz="4" w:space="0" w:color="000000"/>
              <w:right w:val="single" w:sz="4" w:space="0" w:color="000000"/>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学术成果展示与交流方面</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3.80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477B5A">
            <w:pPr>
              <w:widowControl/>
              <w:adjustRightInd w:val="0"/>
              <w:snapToGrid w:val="0"/>
              <w:jc w:val="left"/>
              <w:rPr>
                <w:rFonts w:ascii="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得分＝完成率*6分，超过6分的按6分计。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受疫情影响，文化参访点未能全部开发完毕，出国访谈和接待交流团等活动均未开展。</w:t>
            </w:r>
          </w:p>
        </w:tc>
      </w:tr>
      <w:tr w:rsidR="00477B5A">
        <w:trPr>
          <w:cantSplit/>
          <w:trHeight w:val="454"/>
          <w:jc w:val="center"/>
        </w:trPr>
        <w:tc>
          <w:tcPr>
            <w:tcW w:w="952" w:type="dxa"/>
            <w:vMerge/>
            <w:tcBorders>
              <w:left w:val="single" w:sz="4" w:space="0" w:color="000000"/>
              <w:right w:val="single" w:sz="4" w:space="0" w:color="000000"/>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919" w:type="dxa"/>
            <w:vMerge/>
            <w:tcBorders>
              <w:left w:val="single" w:sz="4" w:space="0" w:color="000000"/>
              <w:right w:val="single" w:sz="4" w:space="0" w:color="000000"/>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教学采购与服务保障方面</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4.00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477B5A">
            <w:pPr>
              <w:widowControl/>
              <w:adjustRightInd w:val="0"/>
              <w:snapToGrid w:val="0"/>
              <w:jc w:val="left"/>
              <w:rPr>
                <w:rFonts w:ascii="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得分＝完成率*4分，超过4分的按4分计。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r>
      <w:tr w:rsidR="00477B5A">
        <w:trPr>
          <w:cantSplit/>
          <w:trHeight w:val="454"/>
          <w:jc w:val="center"/>
        </w:trPr>
        <w:tc>
          <w:tcPr>
            <w:tcW w:w="952" w:type="dxa"/>
            <w:vMerge/>
            <w:tcBorders>
              <w:left w:val="single" w:sz="4" w:space="0" w:color="000000"/>
              <w:bottom w:val="single" w:sz="4" w:space="0" w:color="auto"/>
              <w:right w:val="single" w:sz="4" w:space="0" w:color="000000"/>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919" w:type="dxa"/>
            <w:vMerge/>
            <w:tcBorders>
              <w:left w:val="single" w:sz="4" w:space="0" w:color="000000"/>
              <w:bottom w:val="single" w:sz="4" w:space="0" w:color="auto"/>
              <w:right w:val="single" w:sz="4" w:space="0" w:color="000000"/>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各项工作完成质量（4分）</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b/>
                <w:bCs/>
                <w:color w:val="000000"/>
                <w:sz w:val="20"/>
                <w:szCs w:val="20"/>
              </w:rPr>
            </w:pPr>
            <w:r>
              <w:rPr>
                <w:rStyle w:val="font21"/>
                <w:rFonts w:hint="default"/>
                <w:lang/>
              </w:rPr>
              <w:t>产出质量：</w:t>
            </w:r>
            <w:r>
              <w:rPr>
                <w:rFonts w:ascii="宋体" w:hAnsi="宋体" w:cs="宋体" w:hint="eastAsia"/>
                <w:color w:val="000000"/>
                <w:kern w:val="0"/>
                <w:sz w:val="20"/>
                <w:szCs w:val="20"/>
                <w:lang/>
              </w:rPr>
              <w:t>质量达标率=质量达标工作数/实际完成工作数×100%。质量达标工作数：一定时期（年度或规划期）内部门（单位）实际完成工作数中达到部门绩效目标要求（绩效标准值）的工作任务数量。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得分＝达标率*4分，超过4分的按4分计。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r>
      <w:tr w:rsidR="00477B5A">
        <w:trPr>
          <w:cantSplit/>
          <w:trHeight w:val="454"/>
          <w:jc w:val="center"/>
        </w:trPr>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续上页</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续上页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产出完成</w:t>
            </w:r>
            <w:r>
              <w:rPr>
                <w:rFonts w:ascii="宋体" w:hAnsi="宋体" w:cs="宋体" w:hint="eastAsia"/>
                <w:color w:val="000000"/>
                <w:kern w:val="0"/>
                <w:sz w:val="20"/>
                <w:szCs w:val="20"/>
                <w:lang/>
              </w:rPr>
              <w:br/>
              <w:t>及时性（3分）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b/>
                <w:bCs/>
                <w:color w:val="000000"/>
                <w:sz w:val="20"/>
                <w:szCs w:val="20"/>
              </w:rPr>
            </w:pPr>
            <w:r>
              <w:rPr>
                <w:rStyle w:val="font21"/>
                <w:rFonts w:hint="default"/>
                <w:lang/>
              </w:rPr>
              <w:t>产出进度：</w:t>
            </w:r>
            <w:r>
              <w:rPr>
                <w:rFonts w:ascii="宋体" w:hAnsi="宋体" w:cs="宋体" w:hint="eastAsia"/>
                <w:color w:val="000000"/>
                <w:kern w:val="0"/>
                <w:sz w:val="20"/>
                <w:szCs w:val="20"/>
                <w:lang/>
              </w:rPr>
              <w:t>按时完成率=（按时完成工作数/实际完成工作数）×100%。按时完成工作数：部门（单位）按照整体绩效目标确定的时限实际完成的工作任务数量。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得分＝按时完成率*3分，超过3分的按3分计。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r>
      <w:tr w:rsidR="00477B5A">
        <w:trPr>
          <w:cantSplit/>
          <w:trHeight w:val="454"/>
          <w:jc w:val="center"/>
        </w:trPr>
        <w:tc>
          <w:tcPr>
            <w:tcW w:w="9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477B5A">
            <w:pPr>
              <w:widowControl/>
              <w:adjustRightInd w:val="0"/>
              <w:snapToGrid w:val="0"/>
              <w:jc w:val="center"/>
              <w:textAlignment w:val="center"/>
              <w:rPr>
                <w:rFonts w:ascii="宋体" w:hAnsi="宋体" w:cs="宋体"/>
                <w:color w:val="000000"/>
                <w:sz w:val="20"/>
                <w:szCs w:val="20"/>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477B5A">
            <w:pPr>
              <w:widowControl/>
              <w:adjustRightInd w:val="0"/>
              <w:snapToGrid w:val="0"/>
              <w:jc w:val="center"/>
              <w:textAlignment w:val="center"/>
              <w:rPr>
                <w:rFonts w:ascii="宋体" w:hAnsi="宋体" w:cs="宋体"/>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成本控制（3分）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在预算控制范围内</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在预算控制范围内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b/>
                <w:bCs/>
                <w:color w:val="000000"/>
                <w:sz w:val="20"/>
                <w:szCs w:val="20"/>
              </w:rPr>
            </w:pPr>
            <w:r>
              <w:rPr>
                <w:rStyle w:val="font21"/>
                <w:rFonts w:hint="default"/>
                <w:lang/>
              </w:rPr>
              <w:t>产出成本：</w:t>
            </w:r>
            <w:r>
              <w:rPr>
                <w:rFonts w:ascii="宋体" w:hAnsi="宋体" w:cs="宋体" w:hint="eastAsia"/>
                <w:color w:val="000000"/>
                <w:kern w:val="0"/>
                <w:sz w:val="20"/>
                <w:szCs w:val="20"/>
                <w:lang/>
              </w:rPr>
              <w:t>单位产出相对于上一年度的节约额；②单位产出相对于市场同类产出的节约额；③部门公用经费的控制情况。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按完成情况划分为基本达成、部分实现、实现程度较低三个档次,根据指标实际完成情况合理确定得分。</w:t>
            </w:r>
            <w:r>
              <w:rPr>
                <w:rFonts w:ascii="宋体" w:hAnsi="宋体" w:cs="宋体" w:hint="eastAsia"/>
                <w:color w:val="000000"/>
                <w:kern w:val="0"/>
                <w:sz w:val="20"/>
                <w:szCs w:val="20"/>
                <w:lang/>
              </w:rPr>
              <w:br/>
              <w:t>基本达成的，得[2.4,3]分；</w:t>
            </w:r>
            <w:r>
              <w:rPr>
                <w:rFonts w:ascii="宋体" w:hAnsi="宋体" w:cs="宋体" w:hint="eastAsia"/>
                <w:color w:val="000000"/>
                <w:kern w:val="0"/>
                <w:sz w:val="20"/>
                <w:szCs w:val="20"/>
                <w:lang/>
              </w:rPr>
              <w:br/>
              <w:t>部分实现，得[1.8,2.4)分；</w:t>
            </w:r>
            <w:r>
              <w:rPr>
                <w:rFonts w:ascii="宋体" w:hAnsi="宋体" w:cs="宋体" w:hint="eastAsia"/>
                <w:color w:val="000000"/>
                <w:kern w:val="0"/>
                <w:sz w:val="20"/>
                <w:szCs w:val="20"/>
                <w:lang/>
              </w:rPr>
              <w:br/>
              <w:t>实现程度较低，得[0,1.8)分。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r>
      <w:tr w:rsidR="00477B5A">
        <w:trPr>
          <w:cantSplit/>
          <w:trHeight w:val="454"/>
          <w:jc w:val="center"/>
        </w:trPr>
        <w:tc>
          <w:tcPr>
            <w:tcW w:w="9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效果（30）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加强特色课程体系建设，优化教学布局，深化教学改革</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有效</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较有效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7.00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b/>
                <w:bCs/>
                <w:color w:val="000000"/>
                <w:sz w:val="20"/>
                <w:szCs w:val="20"/>
              </w:rPr>
            </w:pPr>
            <w:r>
              <w:rPr>
                <w:rStyle w:val="font21"/>
                <w:rFonts w:hint="default"/>
                <w:lang/>
              </w:rPr>
              <w:t>社会效益</w:t>
            </w:r>
            <w:r>
              <w:rPr>
                <w:rFonts w:ascii="宋体" w:hAnsi="宋体" w:cs="宋体" w:hint="eastAsia"/>
                <w:color w:val="000000"/>
                <w:kern w:val="0"/>
                <w:sz w:val="20"/>
                <w:szCs w:val="20"/>
                <w:lang/>
              </w:rPr>
              <w:t>：部门（单位）履行职责对社会发展所带来的直接或间接影响。</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按完成情况划分为基本达成、部分实现、实现程度较低三个档次,根据指标实际完成情况合理确定得分。</w:t>
            </w:r>
            <w:r>
              <w:rPr>
                <w:rFonts w:ascii="宋体" w:hAnsi="宋体" w:cs="宋体" w:hint="eastAsia"/>
                <w:color w:val="000000"/>
                <w:kern w:val="0"/>
                <w:sz w:val="20"/>
                <w:szCs w:val="20"/>
                <w:lang/>
              </w:rPr>
              <w:br/>
              <w:t>基本达成的，得[6.4,8]分；</w:t>
            </w:r>
            <w:r>
              <w:rPr>
                <w:rFonts w:ascii="宋体" w:hAnsi="宋体" w:cs="宋体" w:hint="eastAsia"/>
                <w:color w:val="000000"/>
                <w:kern w:val="0"/>
                <w:sz w:val="20"/>
                <w:szCs w:val="20"/>
                <w:lang/>
              </w:rPr>
              <w:br/>
              <w:t>部分实现，得[4.8,6.4)分；</w:t>
            </w:r>
            <w:r>
              <w:rPr>
                <w:rFonts w:ascii="宋体" w:hAnsi="宋体" w:cs="宋体" w:hint="eastAsia"/>
                <w:color w:val="000000"/>
                <w:kern w:val="0"/>
                <w:sz w:val="20"/>
                <w:szCs w:val="20"/>
                <w:lang/>
              </w:rPr>
              <w:br/>
              <w:t>实现程度较低，得[0,4.8)分。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受疫情影响，线下培训班次减少，项目实施效益有待进一步提升，部分开发课程并未纳入学院班次计划，项目实施效果需进一步跟踪。</w:t>
            </w:r>
          </w:p>
        </w:tc>
      </w:tr>
      <w:tr w:rsidR="00477B5A">
        <w:trPr>
          <w:cantSplit/>
          <w:trHeight w:val="454"/>
          <w:jc w:val="center"/>
        </w:trPr>
        <w:tc>
          <w:tcPr>
            <w:tcW w:w="9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提高统战理论研究水平，为首都统战工作提供理论支持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显著</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8.00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477B5A">
            <w:pPr>
              <w:widowControl/>
              <w:adjustRightInd w:val="0"/>
              <w:snapToGrid w:val="0"/>
              <w:jc w:val="left"/>
              <w:rPr>
                <w:rFonts w:ascii="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按完成情况划分为基本达成、部分实现、实现程度较低三个档次,根据指标实际完成情况合理确定得分。</w:t>
            </w:r>
            <w:r>
              <w:rPr>
                <w:rFonts w:ascii="宋体" w:hAnsi="宋体" w:cs="宋体" w:hint="eastAsia"/>
                <w:color w:val="000000"/>
                <w:kern w:val="0"/>
                <w:sz w:val="20"/>
                <w:szCs w:val="20"/>
                <w:lang/>
              </w:rPr>
              <w:br/>
              <w:t>基本达成的，得[6.4,8]分；</w:t>
            </w:r>
            <w:r>
              <w:rPr>
                <w:rFonts w:ascii="宋体" w:hAnsi="宋体" w:cs="宋体" w:hint="eastAsia"/>
                <w:color w:val="000000"/>
                <w:kern w:val="0"/>
                <w:sz w:val="20"/>
                <w:szCs w:val="20"/>
                <w:lang/>
              </w:rPr>
              <w:br/>
              <w:t>部分实现，得[4.8,6.4)分；</w:t>
            </w:r>
            <w:r>
              <w:rPr>
                <w:rFonts w:ascii="宋体" w:hAnsi="宋体" w:cs="宋体" w:hint="eastAsia"/>
                <w:color w:val="000000"/>
                <w:kern w:val="0"/>
                <w:sz w:val="20"/>
                <w:szCs w:val="20"/>
                <w:lang/>
              </w:rPr>
              <w:br/>
              <w:t>实现程度较低，得[0,4.8)分。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r>
      <w:tr w:rsidR="00477B5A">
        <w:trPr>
          <w:cantSplit/>
          <w:trHeight w:val="454"/>
          <w:jc w:val="center"/>
        </w:trPr>
        <w:tc>
          <w:tcPr>
            <w:tcW w:w="952" w:type="dxa"/>
            <w:vMerge w:val="restart"/>
            <w:tcBorders>
              <w:top w:val="single" w:sz="4" w:space="0" w:color="auto"/>
              <w:left w:val="single" w:sz="4" w:space="0" w:color="000000"/>
              <w:right w:val="single" w:sz="4" w:space="0" w:color="000000"/>
            </w:tcBorders>
            <w:shd w:val="clear" w:color="auto" w:fill="auto"/>
            <w:vAlign w:val="center"/>
          </w:tcPr>
          <w:p w:rsidR="00477B5A" w:rsidRDefault="00241D64">
            <w:pPr>
              <w:widowControl/>
              <w:adjustRightInd w:val="0"/>
              <w:snapToGrid w:val="0"/>
              <w:jc w:val="center"/>
              <w:rPr>
                <w:rFonts w:ascii="宋体" w:hAnsi="宋体" w:cs="宋体"/>
                <w:color w:val="000000"/>
                <w:sz w:val="20"/>
                <w:szCs w:val="20"/>
              </w:rPr>
            </w:pPr>
            <w:r>
              <w:rPr>
                <w:rFonts w:ascii="宋体" w:hAnsi="宋体" w:cs="宋体" w:hint="eastAsia"/>
                <w:color w:val="000000"/>
                <w:sz w:val="20"/>
                <w:szCs w:val="20"/>
              </w:rPr>
              <w:t>续上页</w:t>
            </w:r>
          </w:p>
        </w:tc>
        <w:tc>
          <w:tcPr>
            <w:tcW w:w="919" w:type="dxa"/>
            <w:vMerge w:val="restart"/>
            <w:tcBorders>
              <w:top w:val="single" w:sz="4" w:space="0" w:color="auto"/>
              <w:left w:val="single" w:sz="4" w:space="0" w:color="000000"/>
              <w:right w:val="single" w:sz="4" w:space="0" w:color="000000"/>
            </w:tcBorders>
            <w:shd w:val="clear" w:color="auto" w:fill="auto"/>
            <w:vAlign w:val="center"/>
          </w:tcPr>
          <w:p w:rsidR="00477B5A" w:rsidRDefault="00241D64">
            <w:pPr>
              <w:widowControl/>
              <w:adjustRightInd w:val="0"/>
              <w:snapToGrid w:val="0"/>
              <w:jc w:val="center"/>
              <w:rPr>
                <w:rFonts w:ascii="宋体" w:hAnsi="宋体" w:cs="宋体"/>
                <w:color w:val="000000"/>
                <w:sz w:val="20"/>
                <w:szCs w:val="20"/>
              </w:rPr>
            </w:pPr>
            <w:r>
              <w:rPr>
                <w:rFonts w:ascii="宋体" w:hAnsi="宋体" w:cs="宋体" w:hint="eastAsia"/>
                <w:color w:val="000000"/>
                <w:sz w:val="20"/>
                <w:szCs w:val="20"/>
              </w:rPr>
              <w:t>续上页</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弘扬中华优秀文化，促进文化教育交流，提升学院影响力</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较显著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7.00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477B5A">
            <w:pPr>
              <w:widowControl/>
              <w:adjustRightInd w:val="0"/>
              <w:snapToGrid w:val="0"/>
              <w:jc w:val="left"/>
              <w:rPr>
                <w:rFonts w:ascii="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按完成情况划分为基本达成、部分实现、实现程度较低三个档次,根据指标实际完成情况合理确定得分。</w:t>
            </w:r>
            <w:r>
              <w:rPr>
                <w:rFonts w:ascii="宋体" w:hAnsi="宋体" w:cs="宋体" w:hint="eastAsia"/>
                <w:color w:val="000000"/>
                <w:kern w:val="0"/>
                <w:sz w:val="20"/>
                <w:szCs w:val="20"/>
                <w:lang/>
              </w:rPr>
              <w:br/>
              <w:t>基本达成的，得[6.4,8]分；</w:t>
            </w:r>
            <w:r>
              <w:rPr>
                <w:rFonts w:ascii="宋体" w:hAnsi="宋体" w:cs="宋体" w:hint="eastAsia"/>
                <w:color w:val="000000"/>
                <w:kern w:val="0"/>
                <w:sz w:val="20"/>
                <w:szCs w:val="20"/>
                <w:lang/>
              </w:rPr>
              <w:br/>
              <w:t>部分实现，得[4.8,6.4)分；</w:t>
            </w:r>
            <w:r>
              <w:rPr>
                <w:rFonts w:ascii="宋体" w:hAnsi="宋体" w:cs="宋体" w:hint="eastAsia"/>
                <w:color w:val="000000"/>
                <w:kern w:val="0"/>
                <w:sz w:val="20"/>
                <w:szCs w:val="20"/>
                <w:lang/>
              </w:rPr>
              <w:br/>
              <w:t>实现程度较低，得[0,4.8)分。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由于疫情，部分文化参访点未开发完毕，出国访谈和接待交流团等活动均无法开展，学院影响力有待进一步提升。</w:t>
            </w:r>
          </w:p>
        </w:tc>
      </w:tr>
      <w:tr w:rsidR="00477B5A">
        <w:trPr>
          <w:cantSplit/>
          <w:trHeight w:val="454"/>
          <w:jc w:val="center"/>
        </w:trPr>
        <w:tc>
          <w:tcPr>
            <w:tcW w:w="952" w:type="dxa"/>
            <w:vMerge/>
            <w:tcBorders>
              <w:left w:val="single" w:sz="4" w:space="0" w:color="000000"/>
              <w:bottom w:val="nil"/>
              <w:right w:val="single" w:sz="4" w:space="0" w:color="000000"/>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919" w:type="dxa"/>
            <w:vMerge/>
            <w:tcBorders>
              <w:left w:val="single" w:sz="4" w:space="0" w:color="000000"/>
              <w:bottom w:val="nil"/>
              <w:right w:val="single" w:sz="4" w:space="0" w:color="000000"/>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学院各部室、教职工、培训学员和收到《学报》单位满意度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满意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满意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5.50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服务对象满意度：学院各部室、教职工、培训学员和收到《学报》单位对部门各项工作实施效果的满意程度。</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学院各部室、教职工、培训学员和收到《学报》单位满意度较高，得[4.8,6]分；</w:t>
            </w:r>
            <w:r>
              <w:rPr>
                <w:rFonts w:ascii="宋体" w:hAnsi="宋体" w:cs="宋体" w:hint="eastAsia"/>
                <w:color w:val="000000"/>
                <w:kern w:val="0"/>
                <w:sz w:val="20"/>
                <w:szCs w:val="20"/>
                <w:lang/>
              </w:rPr>
              <w:br/>
              <w:t>学院各部室、教职工、培训学员和收到《学报》单位满意度一般，得[3.6,4.8)分；</w:t>
            </w:r>
            <w:r>
              <w:rPr>
                <w:rFonts w:ascii="宋体" w:hAnsi="宋体" w:cs="宋体" w:hint="eastAsia"/>
                <w:color w:val="000000"/>
                <w:kern w:val="0"/>
                <w:sz w:val="20"/>
                <w:szCs w:val="20"/>
                <w:lang/>
              </w:rPr>
              <w:br/>
              <w:t>学院各部室、教职工、培训学员和收到《学报》单位满意度较差，得[0,3.6)分。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部分项目满意度佐证材料收集力度不足。</w:t>
            </w:r>
          </w:p>
        </w:tc>
      </w:tr>
      <w:tr w:rsidR="00477B5A">
        <w:trPr>
          <w:cantSplit/>
          <w:trHeight w:val="454"/>
          <w:jc w:val="center"/>
        </w:trPr>
        <w:tc>
          <w:tcPr>
            <w:tcW w:w="0" w:type="auto"/>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b/>
                <w:bCs/>
                <w:color w:val="000000"/>
                <w:sz w:val="20"/>
                <w:szCs w:val="20"/>
              </w:rPr>
            </w:pPr>
            <w:r>
              <w:rPr>
                <w:rFonts w:ascii="宋体" w:hAnsi="宋体" w:cs="宋体" w:hint="eastAsia"/>
                <w:b/>
                <w:bCs/>
                <w:color w:val="000000"/>
                <w:kern w:val="0"/>
                <w:sz w:val="20"/>
                <w:szCs w:val="20"/>
                <w:lang/>
              </w:rPr>
              <w:t>三、预算管理情况（20分）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477B5A">
            <w:pPr>
              <w:widowControl/>
              <w:adjustRightInd w:val="0"/>
              <w:snapToGrid w:val="0"/>
              <w:rPr>
                <w:rFonts w:ascii="宋体" w:hAnsi="宋体" w:cs="宋体"/>
                <w:b/>
                <w:bCs/>
                <w:color w:val="000000"/>
                <w:sz w:val="20"/>
                <w:szCs w:val="20"/>
              </w:rPr>
            </w:pPr>
          </w:p>
        </w:tc>
      </w:tr>
      <w:tr w:rsidR="00477B5A">
        <w:trPr>
          <w:cantSplit/>
          <w:trHeight w:val="454"/>
          <w:jc w:val="center"/>
        </w:trPr>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一级指标</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二级指标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三级指标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指标值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完成值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分值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得分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指标解释</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评分标准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备注</w:t>
            </w:r>
          </w:p>
        </w:tc>
      </w:tr>
      <w:tr w:rsidR="00477B5A">
        <w:trPr>
          <w:cantSplit/>
          <w:trHeight w:val="454"/>
          <w:jc w:val="center"/>
        </w:trPr>
        <w:tc>
          <w:tcPr>
            <w:tcW w:w="952" w:type="dxa"/>
            <w:tcBorders>
              <w:top w:val="single" w:sz="4" w:space="0" w:color="000000"/>
              <w:left w:val="single" w:sz="4" w:space="0" w:color="000000"/>
              <w:bottom w:val="single" w:sz="4" w:space="0" w:color="auto"/>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预算管理情况（20）</w:t>
            </w:r>
          </w:p>
        </w:tc>
        <w:tc>
          <w:tcPr>
            <w:tcW w:w="919" w:type="dxa"/>
            <w:tcBorders>
              <w:top w:val="single" w:sz="4" w:space="0" w:color="000000"/>
              <w:left w:val="single" w:sz="4" w:space="0" w:color="000000"/>
              <w:bottom w:val="single" w:sz="4" w:space="0" w:color="auto"/>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财务管理（4）</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财务管理制度健全性</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健全</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健全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b/>
                <w:bCs/>
                <w:color w:val="000000"/>
                <w:sz w:val="20"/>
                <w:szCs w:val="20"/>
              </w:rPr>
            </w:pPr>
            <w:r>
              <w:rPr>
                <w:rStyle w:val="font21"/>
                <w:rFonts w:hint="default"/>
                <w:lang/>
              </w:rPr>
              <w:t>财务管理制度健全性:</w:t>
            </w:r>
            <w:r>
              <w:rPr>
                <w:rFonts w:ascii="宋体" w:hAnsi="宋体" w:cs="宋体" w:hint="eastAsia"/>
                <w:color w:val="000000"/>
                <w:kern w:val="0"/>
                <w:sz w:val="20"/>
                <w:szCs w:val="20"/>
                <w:lang/>
              </w:rPr>
              <w:t>部门（单位）为加强财务管理、规范财务行为而制定的管理制度。</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①预算资金管理办法、绩效跟踪管理办法、资产管理办法等各项制度是否健全；②部门内部财务管理制度是否完整、合规；③会计核算制度是否完整、合规。每有一项不合格扣0.5分，扣完为止。</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r>
      <w:tr w:rsidR="00477B5A">
        <w:trPr>
          <w:cantSplit/>
          <w:trHeight w:val="454"/>
          <w:jc w:val="center"/>
        </w:trPr>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续上页</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rPr>
                <w:rFonts w:ascii="宋体" w:hAnsi="宋体" w:cs="宋体"/>
                <w:color w:val="000000"/>
                <w:sz w:val="20"/>
                <w:szCs w:val="20"/>
              </w:rPr>
            </w:pPr>
            <w:r>
              <w:rPr>
                <w:rFonts w:ascii="宋体" w:hAnsi="宋体" w:cs="宋体" w:hint="eastAsia"/>
                <w:color w:val="000000"/>
                <w:sz w:val="20"/>
                <w:szCs w:val="20"/>
              </w:rPr>
              <w:t>续上页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资金使用合规性和安全性</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合规、安全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合规、安全</w:t>
            </w:r>
          </w:p>
        </w:tc>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1.50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b/>
                <w:bCs/>
                <w:color w:val="000000"/>
                <w:sz w:val="20"/>
                <w:szCs w:val="20"/>
              </w:rPr>
            </w:pPr>
            <w:r>
              <w:rPr>
                <w:rStyle w:val="font21"/>
                <w:rFonts w:hint="default"/>
                <w:lang/>
              </w:rPr>
              <w:t>资金使用合规性和安全性:</w:t>
            </w:r>
            <w:r>
              <w:rPr>
                <w:rFonts w:ascii="宋体" w:hAnsi="宋体" w:cs="宋体" w:hint="eastAsia"/>
                <w:color w:val="000000"/>
                <w:kern w:val="0"/>
                <w:sz w:val="20"/>
                <w:szCs w:val="20"/>
                <w:lang/>
              </w:rPr>
              <w:t>部门（单位）使用预算资金是否符合相关的预算财务管理制度的规定，是否符合相关规定的开支范围，用以反映考核部门（单位）预算资金的规范运行和安全运行情况。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①是否符合国家财经法规和财务管理制度规定以及有关专项资金管理办法的规定；②资金的拨付是否有完整的审批程序和手续；③项目的重大开支是否经过评估论证；④是否符合部门预算批复的用途；⑤是否存在截留、挤占、挪用情况；⑥资金使用是否符合政府采购的程序和流程；⑦资金使用是否符合公务卡结算相关制度和规定。每有一项不合格扣0.5分，扣完为止。</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个别项目资金存在列支其他项目费用情况，如“《学报》编辑出版发行”项目将单位其他项目需查重文章数量与本项目需查重文章数量一并计算中国知网查重费用，未根据本项目查重实际需求将查重费用在本项目中予以明确。</w:t>
            </w:r>
          </w:p>
        </w:tc>
      </w:tr>
      <w:tr w:rsidR="00477B5A">
        <w:trPr>
          <w:cantSplit/>
          <w:trHeight w:val="454"/>
          <w:jc w:val="center"/>
        </w:trPr>
        <w:tc>
          <w:tcPr>
            <w:tcW w:w="9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会计基础信息完善性</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完善</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完善</w:t>
            </w:r>
          </w:p>
        </w:tc>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b/>
                <w:bCs/>
                <w:color w:val="000000"/>
                <w:sz w:val="20"/>
                <w:szCs w:val="20"/>
              </w:rPr>
            </w:pPr>
            <w:r>
              <w:rPr>
                <w:rStyle w:val="font21"/>
                <w:rFonts w:hint="default"/>
                <w:lang/>
              </w:rPr>
              <w:t>会计基础信息完善性:</w:t>
            </w:r>
            <w:r>
              <w:rPr>
                <w:rFonts w:ascii="宋体" w:hAnsi="宋体" w:cs="宋体" w:hint="eastAsia"/>
                <w:color w:val="000000"/>
                <w:kern w:val="0"/>
                <w:sz w:val="20"/>
                <w:szCs w:val="20"/>
                <w:lang/>
              </w:rPr>
              <w:t>部门（单位）会计基础信息情况。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①基础数据信息和会计信息资料是否真实；②基础数据信息和会计信息资料是否完整；③基础数据信息和会计信息资料是否准确。每有一项不合格扣0.5分，扣完为止。</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r>
      <w:tr w:rsidR="00477B5A">
        <w:trPr>
          <w:cantSplit/>
          <w:trHeight w:val="454"/>
          <w:jc w:val="center"/>
        </w:trPr>
        <w:tc>
          <w:tcPr>
            <w:tcW w:w="9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477B5A">
            <w:pPr>
              <w:widowControl/>
              <w:adjustRightInd w:val="0"/>
              <w:snapToGrid w:val="0"/>
              <w:jc w:val="center"/>
              <w:textAlignment w:val="center"/>
              <w:rPr>
                <w:rFonts w:ascii="宋体" w:hAnsi="宋体" w:cs="宋体"/>
                <w:color w:val="000000"/>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资产管理（4）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资产管理规范性</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规范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规范</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4.00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b/>
                <w:bCs/>
                <w:color w:val="000000"/>
                <w:sz w:val="20"/>
                <w:szCs w:val="20"/>
              </w:rPr>
            </w:pPr>
            <w:r>
              <w:rPr>
                <w:rStyle w:val="font21"/>
                <w:rFonts w:hint="default"/>
                <w:lang/>
              </w:rPr>
              <w:t>资产管理规范性:</w:t>
            </w:r>
            <w:r>
              <w:rPr>
                <w:rFonts w:ascii="宋体" w:hAnsi="宋体" w:cs="宋体" w:hint="eastAsia"/>
                <w:color w:val="000000"/>
                <w:kern w:val="0"/>
                <w:sz w:val="20"/>
                <w:szCs w:val="20"/>
                <w:lang/>
              </w:rPr>
              <w:t>部门（单位）的资产是否保持安全完整，资产配置是否合理，资产使用和资产处理是否规范，用以反映和考核部门（单位）资产管理的整体水平。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①对外投资行为是否经审批，是否存在投资亏损；②是否有因管理不当发生严重资产损失和丢失情况；③是否存在超标准配置资产；④资产使用是否规范，是否存在未经批准擅自出租、出借资产行为；⑤资产处置是否规范，是否存在不按要求进行报批或资产不公开处置行为；⑥其它资产管理制度办法执行情况。每有一项不合格扣0.8分，扣完为止。</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r>
      <w:tr w:rsidR="00477B5A">
        <w:trPr>
          <w:cantSplit/>
          <w:trHeight w:val="454"/>
          <w:jc w:val="center"/>
        </w:trPr>
        <w:tc>
          <w:tcPr>
            <w:tcW w:w="952" w:type="dxa"/>
            <w:vMerge w:val="restart"/>
            <w:tcBorders>
              <w:top w:val="single" w:sz="4" w:space="0" w:color="auto"/>
              <w:left w:val="single" w:sz="4" w:space="0" w:color="000000"/>
              <w:right w:val="single" w:sz="4" w:space="0" w:color="000000"/>
            </w:tcBorders>
            <w:shd w:val="clear" w:color="auto" w:fill="auto"/>
            <w:vAlign w:val="center"/>
          </w:tcPr>
          <w:p w:rsidR="00477B5A" w:rsidRDefault="00241D64">
            <w:pPr>
              <w:widowControl/>
              <w:adjustRightInd w:val="0"/>
              <w:snapToGrid w:val="0"/>
              <w:jc w:val="center"/>
              <w:rPr>
                <w:rFonts w:ascii="宋体" w:hAnsi="宋体" w:cs="宋体"/>
                <w:color w:val="000000"/>
                <w:sz w:val="20"/>
                <w:szCs w:val="20"/>
              </w:rPr>
            </w:pPr>
            <w:r>
              <w:rPr>
                <w:rFonts w:ascii="宋体" w:hAnsi="宋体" w:cs="宋体" w:hint="eastAsia"/>
                <w:color w:val="000000"/>
                <w:sz w:val="20"/>
                <w:szCs w:val="20"/>
              </w:rPr>
              <w:lastRenderedPageBreak/>
              <w:t>续上页</w:t>
            </w:r>
          </w:p>
        </w:tc>
        <w:tc>
          <w:tcPr>
            <w:tcW w:w="919" w:type="dxa"/>
            <w:tcBorders>
              <w:top w:val="single" w:sz="4" w:space="0" w:color="auto"/>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绩效管理（4）</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绩效管理情况</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较好的完成</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3.50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b/>
                <w:bCs/>
                <w:color w:val="000000"/>
                <w:sz w:val="20"/>
                <w:szCs w:val="20"/>
              </w:rPr>
            </w:pPr>
            <w:r>
              <w:rPr>
                <w:rStyle w:val="font21"/>
                <w:rFonts w:hint="default"/>
                <w:lang/>
              </w:rPr>
              <w:t>绩效管理情况:</w:t>
            </w:r>
            <w:r>
              <w:rPr>
                <w:rFonts w:ascii="宋体" w:hAnsi="宋体" w:cs="宋体" w:hint="eastAsia"/>
                <w:color w:val="000000"/>
                <w:kern w:val="0"/>
                <w:sz w:val="20"/>
                <w:szCs w:val="20"/>
                <w:lang/>
              </w:rPr>
              <w:t>考核部门（单位）在绩效管理信息的汇总和应用情况。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①部门（单位）是否及时对绩效信息进行汇总分析整理；②部门（单位）是否对绩效目标偏离情况及时进行矫正。每有一项不合格扣2分。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项目支出绩效目标申报表填报质量有待提高。</w:t>
            </w:r>
          </w:p>
        </w:tc>
      </w:tr>
      <w:tr w:rsidR="00477B5A">
        <w:trPr>
          <w:cantSplit/>
          <w:trHeight w:val="454"/>
          <w:jc w:val="center"/>
        </w:trPr>
        <w:tc>
          <w:tcPr>
            <w:tcW w:w="952" w:type="dxa"/>
            <w:vMerge/>
            <w:tcBorders>
              <w:left w:val="single" w:sz="4" w:space="0" w:color="000000"/>
              <w:right w:val="single" w:sz="4" w:space="0" w:color="000000"/>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指标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2021年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2022年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分值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得分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指标解释</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评分标准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r>
      <w:tr w:rsidR="00477B5A">
        <w:trPr>
          <w:cantSplit/>
          <w:trHeight w:val="454"/>
          <w:jc w:val="center"/>
        </w:trPr>
        <w:tc>
          <w:tcPr>
            <w:tcW w:w="952" w:type="dxa"/>
            <w:vMerge/>
            <w:tcBorders>
              <w:left w:val="single" w:sz="4" w:space="0" w:color="000000"/>
              <w:right w:val="single" w:sz="4" w:space="0" w:color="000000"/>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结转结余率（4）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19.75%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8.67%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4.00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结转结余率=结转结余总额/支出预算数×100%。</w:t>
            </w:r>
            <w:r>
              <w:rPr>
                <w:rFonts w:ascii="宋体" w:hAnsi="宋体" w:cs="宋体" w:hint="eastAsia"/>
                <w:color w:val="000000"/>
                <w:kern w:val="0"/>
                <w:sz w:val="20"/>
                <w:szCs w:val="20"/>
                <w:lang/>
              </w:rPr>
              <w:br/>
              <w:t>结转结余总额：部门（单位）本年度的结转资金与结余资金之和。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部门结转结余率低于上年的不扣分；高于上年结余率，每高出1个百分点扣0.4分，扣完为止。（说明：预算调整和结转结余指标，如非预算部门主观因素导致扣分的，在评分结果征求意见环节，经与相关部门预算主管处室共同研究，可作为例外情况酌情考虑。）</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r>
      <w:tr w:rsidR="00477B5A">
        <w:trPr>
          <w:cantSplit/>
          <w:trHeight w:val="454"/>
          <w:jc w:val="center"/>
        </w:trPr>
        <w:tc>
          <w:tcPr>
            <w:tcW w:w="952" w:type="dxa"/>
            <w:vMerge/>
            <w:tcBorders>
              <w:left w:val="single" w:sz="4" w:space="0" w:color="000000"/>
              <w:bottom w:val="single" w:sz="4" w:space="0" w:color="000000"/>
              <w:right w:val="single" w:sz="4" w:space="0" w:color="000000"/>
            </w:tcBorders>
            <w:shd w:val="clear" w:color="auto" w:fill="auto"/>
            <w:vAlign w:val="center"/>
          </w:tcPr>
          <w:p w:rsidR="00477B5A" w:rsidRDefault="00477B5A">
            <w:pPr>
              <w:widowControl/>
              <w:adjustRightInd w:val="0"/>
              <w:snapToGrid w:val="0"/>
              <w:jc w:val="center"/>
              <w:rPr>
                <w:rFonts w:ascii="宋体" w:hAnsi="宋体" w:cs="宋体"/>
                <w:color w:val="000000"/>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textAlignment w:val="center"/>
              <w:rPr>
                <w:rFonts w:ascii="宋体" w:hAnsi="宋体" w:cs="宋体"/>
                <w:color w:val="000000"/>
                <w:sz w:val="20"/>
                <w:szCs w:val="20"/>
              </w:rPr>
            </w:pPr>
            <w:r>
              <w:rPr>
                <w:rFonts w:ascii="宋体" w:hAnsi="宋体" w:cs="宋体" w:hint="eastAsia"/>
                <w:color w:val="000000"/>
                <w:kern w:val="0"/>
                <w:sz w:val="20"/>
                <w:szCs w:val="20"/>
                <w:lang/>
              </w:rPr>
              <w:t>部门预决算差异率（4）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11.74%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4.00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通过年度部门决算与年初部门预算对比，对部门的年度支出情况进行考核，衡量部门预算的约束力。</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left"/>
              <w:textAlignment w:val="center"/>
              <w:rPr>
                <w:rFonts w:ascii="宋体" w:hAnsi="宋体" w:cs="宋体"/>
                <w:color w:val="000000"/>
                <w:sz w:val="20"/>
                <w:szCs w:val="20"/>
              </w:rPr>
            </w:pPr>
            <w:r>
              <w:rPr>
                <w:rFonts w:ascii="宋体" w:hAnsi="宋体" w:cs="宋体" w:hint="eastAsia"/>
                <w:color w:val="000000"/>
                <w:kern w:val="0"/>
                <w:sz w:val="20"/>
                <w:szCs w:val="20"/>
                <w:lang/>
              </w:rPr>
              <w:t>部门预决算差异率高于市级平均差异率（28.3%）的，每高出10%（含），扣0.4分，扣完为止。</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p>
        </w:tc>
      </w:tr>
      <w:tr w:rsidR="00477B5A">
        <w:trPr>
          <w:cantSplit/>
          <w:trHeight w:val="454"/>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 xml:space="preserve">90.41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7B5A" w:rsidRDefault="00241D64">
            <w:pPr>
              <w:widowControl/>
              <w:adjustRightInd w:val="0"/>
              <w:snapToGrid w:val="0"/>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rPr>
              <w:t>——</w:t>
            </w:r>
          </w:p>
        </w:tc>
      </w:tr>
    </w:tbl>
    <w:p w:rsidR="00477B5A" w:rsidRDefault="00477B5A">
      <w:bookmarkStart w:id="57" w:name="_GoBack"/>
      <w:bookmarkEnd w:id="57"/>
    </w:p>
    <w:sectPr w:rsidR="00477B5A" w:rsidSect="00533F88">
      <w:footerReference w:type="default" r:id="rId1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566" w:rsidRDefault="00766566">
      <w:r>
        <w:separator/>
      </w:r>
    </w:p>
  </w:endnote>
  <w:endnote w:type="continuationSeparator" w:id="0">
    <w:p w:rsidR="00766566" w:rsidRDefault="007665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variable"/>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宋体"/>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5A" w:rsidRDefault="00477B5A">
    <w:pPr>
      <w:pStyle w:val="a7"/>
      <w:jc w:val="right"/>
      <w:rPr>
        <w:rFonts w:ascii="宋体" w:hAnsi="宋体"/>
        <w:sz w:val="28"/>
        <w:szCs w:val="28"/>
      </w:rPr>
    </w:pPr>
  </w:p>
  <w:p w:rsidR="00477B5A" w:rsidRDefault="00477B5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5A" w:rsidRDefault="00533F88">
    <w:pPr>
      <w:pStyle w:val="a7"/>
      <w:jc w:val="right"/>
      <w:rPr>
        <w:rFonts w:ascii="宋体" w:hAnsi="宋体"/>
        <w:sz w:val="28"/>
        <w:szCs w:val="28"/>
      </w:rPr>
    </w:pPr>
    <w:r w:rsidRPr="00533F88">
      <w:rPr>
        <w:noProof/>
        <w:sz w:val="28"/>
      </w:rPr>
      <w:pict>
        <v:shapetype id="_x0000_t202" coordsize="21600,21600" o:spt="202" path="m,l,21600r21600,l21600,xe">
          <v:stroke joinstyle="miter"/>
          <v:path gradientshapeok="t" o:connecttype="rect"/>
        </v:shapetype>
        <v:shape id="文本框 2" o:spid="_x0000_s2050" type="#_x0000_t202" style="position:absolute;left:0;text-align:left;margin-left:169.5pt;margin-top:2.1pt;width:50.65pt;height:25.9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" filled="f" stroked="f" strokeweight=".5pt">
          <v:textbox inset="0,0,0,0">
            <w:txbxContent>
              <w:p w:rsidR="00477B5A" w:rsidRDefault="00533F88">
                <w:pPr>
                  <w:pStyle w:val="a7"/>
                  <w:jc w:val="center"/>
                  <w:rPr>
                    <w:rFonts w:ascii="宋体" w:hAnsi="宋体" w:cs="宋体"/>
                    <w:sz w:val="28"/>
                    <w:szCs w:val="28"/>
                  </w:rPr>
                </w:pPr>
                <w:r>
                  <w:rPr>
                    <w:rFonts w:ascii="宋体" w:hAnsi="宋体" w:cs="宋体" w:hint="eastAsia"/>
                    <w:sz w:val="28"/>
                    <w:szCs w:val="28"/>
                  </w:rPr>
                  <w:fldChar w:fldCharType="begin"/>
                </w:r>
                <w:r w:rsidR="00241D64">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01A7B">
                  <w:rPr>
                    <w:rFonts w:ascii="宋体" w:hAnsi="宋体" w:cs="宋体"/>
                    <w:noProof/>
                    <w:sz w:val="28"/>
                    <w:szCs w:val="28"/>
                  </w:rPr>
                  <w:t>3</w:t>
                </w:r>
                <w:r>
                  <w:rPr>
                    <w:rFonts w:ascii="宋体" w:hAnsi="宋体" w:cs="宋体" w:hint="eastAsia"/>
                    <w:sz w:val="28"/>
                    <w:szCs w:val="28"/>
                  </w:rPr>
                  <w:fldChar w:fldCharType="end"/>
                </w:r>
              </w:p>
            </w:txbxContent>
          </v:textbox>
          <w10:wrap anchorx="margin"/>
        </v:shape>
      </w:pict>
    </w:r>
  </w:p>
  <w:p w:rsidR="00477B5A" w:rsidRDefault="00477B5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5A" w:rsidRDefault="00533F88">
    <w:pPr>
      <w:pStyle w:val="a7"/>
      <w:jc w:val="right"/>
      <w:rPr>
        <w:rFonts w:ascii="宋体" w:hAnsi="宋体"/>
        <w:sz w:val="28"/>
        <w:szCs w:val="28"/>
      </w:rPr>
    </w:pPr>
    <w:r w:rsidRPr="00533F88">
      <w:rPr>
        <w:noProof/>
        <w:sz w:val="28"/>
      </w:rPr>
      <w:pict>
        <v:shapetype id="_x0000_t202" coordsize="21600,21600" o:spt="202" path="m,l,21600r21600,l21600,xe">
          <v:stroke joinstyle="miter"/>
          <v:path gradientshapeok="t" o:connecttype="rect"/>
        </v:shapetype>
        <v:shape id="文本框 4" o:spid="_x0000_s2049" type="#_x0000_t202" style="position:absolute;left:0;text-align:left;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477B5A" w:rsidRDefault="00533F88">
                <w:pPr>
                  <w:pStyle w:val="a7"/>
                  <w:rPr>
                    <w:rFonts w:ascii="宋体" w:hAnsi="宋体" w:cs="宋体"/>
                    <w:sz w:val="28"/>
                    <w:szCs w:val="28"/>
                  </w:rPr>
                </w:pPr>
                <w:r>
                  <w:rPr>
                    <w:rFonts w:ascii="宋体" w:hAnsi="宋体" w:cs="宋体" w:hint="eastAsia"/>
                    <w:sz w:val="28"/>
                    <w:szCs w:val="28"/>
                  </w:rPr>
                  <w:fldChar w:fldCharType="begin"/>
                </w:r>
                <w:r w:rsidR="00241D64">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01A7B">
                  <w:rPr>
                    <w:rFonts w:ascii="宋体" w:hAnsi="宋体" w:cs="宋体"/>
                    <w:noProof/>
                    <w:sz w:val="28"/>
                    <w:szCs w:val="28"/>
                  </w:rPr>
                  <w:t>29</w:t>
                </w:r>
                <w:r>
                  <w:rPr>
                    <w:rFonts w:ascii="宋体" w:hAnsi="宋体" w:cs="宋体" w:hint="eastAsia"/>
                    <w:sz w:val="28"/>
                    <w:szCs w:val="28"/>
                  </w:rPr>
                  <w:fldChar w:fldCharType="end"/>
                </w:r>
              </w:p>
            </w:txbxContent>
          </v:textbox>
          <w10:wrap anchorx="margin"/>
        </v:shape>
      </w:pict>
    </w:r>
  </w:p>
  <w:p w:rsidR="00477B5A" w:rsidRDefault="00477B5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566" w:rsidRDefault="00766566">
      <w:r>
        <w:separator/>
      </w:r>
    </w:p>
  </w:footnote>
  <w:footnote w:type="continuationSeparator" w:id="0">
    <w:p w:rsidR="00766566" w:rsidRDefault="00766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E4ED1"/>
    <w:multiLevelType w:val="multilevel"/>
    <w:tmpl w:val="5A7E4ED1"/>
    <w:lvl w:ilvl="0">
      <w:start w:val="1"/>
      <w:numFmt w:val="bullet"/>
      <w:pStyle w:val="a"/>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
    <w:nsid w:val="6D80A324"/>
    <w:multiLevelType w:val="singleLevel"/>
    <w:tmpl w:val="6D80A324"/>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ᑔɵ卆䵇퓔֐操㿿剦쀀㿿剦쀀㿿脤̧卆䵇풸֐操㿿剦쀀㿿膴̧卆䵇嵔ڂ操㿿剦쀀㿿艄̧卆䵇撀߄操㿿剦쀀㿿苔̧卆䵇擔߄操㿿剦쀀㿿剦쀀㿿卆䵇昜߄▚㿿剦胍㿿剦胍㿿"/>
  </w:docVars>
  <w:rsids>
    <w:rsidRoot w:val="005E4E7A"/>
    <w:rsid w:val="00000517"/>
    <w:rsid w:val="000B5B53"/>
    <w:rsid w:val="001416E9"/>
    <w:rsid w:val="0014406D"/>
    <w:rsid w:val="00187710"/>
    <w:rsid w:val="00212F32"/>
    <w:rsid w:val="002371E7"/>
    <w:rsid w:val="00241D64"/>
    <w:rsid w:val="00244F05"/>
    <w:rsid w:val="00257809"/>
    <w:rsid w:val="0026389B"/>
    <w:rsid w:val="00323254"/>
    <w:rsid w:val="00327B02"/>
    <w:rsid w:val="00333EF5"/>
    <w:rsid w:val="0043192A"/>
    <w:rsid w:val="00477B5A"/>
    <w:rsid w:val="004A2293"/>
    <w:rsid w:val="00533F88"/>
    <w:rsid w:val="00571E73"/>
    <w:rsid w:val="00590608"/>
    <w:rsid w:val="005E093B"/>
    <w:rsid w:val="005E4E7A"/>
    <w:rsid w:val="00611B26"/>
    <w:rsid w:val="00616AC5"/>
    <w:rsid w:val="00647ADD"/>
    <w:rsid w:val="006A1489"/>
    <w:rsid w:val="006C0D34"/>
    <w:rsid w:val="006C3D54"/>
    <w:rsid w:val="006C7FC8"/>
    <w:rsid w:val="007511B2"/>
    <w:rsid w:val="00766566"/>
    <w:rsid w:val="007D28C0"/>
    <w:rsid w:val="0085531A"/>
    <w:rsid w:val="00866F3E"/>
    <w:rsid w:val="009006D4"/>
    <w:rsid w:val="00903DEE"/>
    <w:rsid w:val="0093164C"/>
    <w:rsid w:val="009A4F01"/>
    <w:rsid w:val="009A507C"/>
    <w:rsid w:val="009E4A65"/>
    <w:rsid w:val="00A40086"/>
    <w:rsid w:val="00A56878"/>
    <w:rsid w:val="00AB0D53"/>
    <w:rsid w:val="00AD3403"/>
    <w:rsid w:val="00B04113"/>
    <w:rsid w:val="00B100F3"/>
    <w:rsid w:val="00B11407"/>
    <w:rsid w:val="00BB4F29"/>
    <w:rsid w:val="00C13A05"/>
    <w:rsid w:val="00C344C1"/>
    <w:rsid w:val="00C85671"/>
    <w:rsid w:val="00CB7DD7"/>
    <w:rsid w:val="00D66943"/>
    <w:rsid w:val="00E01A7B"/>
    <w:rsid w:val="00E445E3"/>
    <w:rsid w:val="00E6193C"/>
    <w:rsid w:val="00EC4A63"/>
    <w:rsid w:val="00F33B4C"/>
    <w:rsid w:val="00F97F70"/>
    <w:rsid w:val="045424D5"/>
    <w:rsid w:val="05D412CC"/>
    <w:rsid w:val="060665C9"/>
    <w:rsid w:val="06151CF4"/>
    <w:rsid w:val="06224324"/>
    <w:rsid w:val="0735277A"/>
    <w:rsid w:val="07391C48"/>
    <w:rsid w:val="08F17FDE"/>
    <w:rsid w:val="08FB2062"/>
    <w:rsid w:val="09400738"/>
    <w:rsid w:val="09635718"/>
    <w:rsid w:val="09F26802"/>
    <w:rsid w:val="0C1029D6"/>
    <w:rsid w:val="0C597868"/>
    <w:rsid w:val="0C5F436F"/>
    <w:rsid w:val="0CC9374C"/>
    <w:rsid w:val="0D107B0F"/>
    <w:rsid w:val="0DBA1B3B"/>
    <w:rsid w:val="0EC237C1"/>
    <w:rsid w:val="103A56ED"/>
    <w:rsid w:val="106C5F85"/>
    <w:rsid w:val="1137631E"/>
    <w:rsid w:val="134E5410"/>
    <w:rsid w:val="14BE1392"/>
    <w:rsid w:val="14C173FE"/>
    <w:rsid w:val="150417DE"/>
    <w:rsid w:val="1523449A"/>
    <w:rsid w:val="16265B53"/>
    <w:rsid w:val="197D7600"/>
    <w:rsid w:val="1A091759"/>
    <w:rsid w:val="1A74185C"/>
    <w:rsid w:val="1BF260EF"/>
    <w:rsid w:val="1C4A5150"/>
    <w:rsid w:val="1D844B43"/>
    <w:rsid w:val="1D926C08"/>
    <w:rsid w:val="1E3E42B6"/>
    <w:rsid w:val="1EFB3FA5"/>
    <w:rsid w:val="1F622FBE"/>
    <w:rsid w:val="20631460"/>
    <w:rsid w:val="21861DDC"/>
    <w:rsid w:val="223B07F0"/>
    <w:rsid w:val="230E024F"/>
    <w:rsid w:val="23A10738"/>
    <w:rsid w:val="245F149B"/>
    <w:rsid w:val="24CF62C7"/>
    <w:rsid w:val="26F54690"/>
    <w:rsid w:val="28623A1E"/>
    <w:rsid w:val="28BA16FD"/>
    <w:rsid w:val="2A1F09F7"/>
    <w:rsid w:val="2BB05DAB"/>
    <w:rsid w:val="2BD001FB"/>
    <w:rsid w:val="2BF7271A"/>
    <w:rsid w:val="2C1A76C8"/>
    <w:rsid w:val="2C1B179C"/>
    <w:rsid w:val="2CE33F5E"/>
    <w:rsid w:val="2D0223EB"/>
    <w:rsid w:val="2D3B18A1"/>
    <w:rsid w:val="2E1662A0"/>
    <w:rsid w:val="2E7520F4"/>
    <w:rsid w:val="2F1D0C2B"/>
    <w:rsid w:val="306E23A3"/>
    <w:rsid w:val="308A487B"/>
    <w:rsid w:val="30A60B7C"/>
    <w:rsid w:val="32FB3D6A"/>
    <w:rsid w:val="34FD5793"/>
    <w:rsid w:val="350E2F0B"/>
    <w:rsid w:val="35D37389"/>
    <w:rsid w:val="35FE3834"/>
    <w:rsid w:val="382242EE"/>
    <w:rsid w:val="396823FF"/>
    <w:rsid w:val="39C0722F"/>
    <w:rsid w:val="3A1A0B2C"/>
    <w:rsid w:val="3A7F0B37"/>
    <w:rsid w:val="3ADA740C"/>
    <w:rsid w:val="3B6C15C2"/>
    <w:rsid w:val="3C6C2938"/>
    <w:rsid w:val="3D78424E"/>
    <w:rsid w:val="3E1201FF"/>
    <w:rsid w:val="418E47EC"/>
    <w:rsid w:val="41C0525B"/>
    <w:rsid w:val="421A1BD4"/>
    <w:rsid w:val="42DA170B"/>
    <w:rsid w:val="43335E02"/>
    <w:rsid w:val="45941E41"/>
    <w:rsid w:val="47574FEC"/>
    <w:rsid w:val="47DA19EE"/>
    <w:rsid w:val="48770D9A"/>
    <w:rsid w:val="48E24C72"/>
    <w:rsid w:val="497F2A84"/>
    <w:rsid w:val="49AE16E9"/>
    <w:rsid w:val="4A272775"/>
    <w:rsid w:val="4A283F79"/>
    <w:rsid w:val="4A2F61DD"/>
    <w:rsid w:val="4B131254"/>
    <w:rsid w:val="4BE066C2"/>
    <w:rsid w:val="4D8F0806"/>
    <w:rsid w:val="4E075F92"/>
    <w:rsid w:val="4E6D76D3"/>
    <w:rsid w:val="4E7A5C25"/>
    <w:rsid w:val="4E7C53AE"/>
    <w:rsid w:val="4F6D0120"/>
    <w:rsid w:val="4F8E79EA"/>
    <w:rsid w:val="4FC95716"/>
    <w:rsid w:val="504C49AA"/>
    <w:rsid w:val="513E1691"/>
    <w:rsid w:val="5167665C"/>
    <w:rsid w:val="51EC0E65"/>
    <w:rsid w:val="53253728"/>
    <w:rsid w:val="535B25D7"/>
    <w:rsid w:val="538C7E59"/>
    <w:rsid w:val="54300751"/>
    <w:rsid w:val="54742C91"/>
    <w:rsid w:val="54F77CF7"/>
    <w:rsid w:val="552F5CFE"/>
    <w:rsid w:val="55F14746"/>
    <w:rsid w:val="57AA2FBA"/>
    <w:rsid w:val="582232DD"/>
    <w:rsid w:val="592B0D1D"/>
    <w:rsid w:val="59EB5196"/>
    <w:rsid w:val="5A1602EC"/>
    <w:rsid w:val="5AA27E2F"/>
    <w:rsid w:val="5B1D7CA5"/>
    <w:rsid w:val="5B4F1F89"/>
    <w:rsid w:val="5C2838AF"/>
    <w:rsid w:val="5DA90C38"/>
    <w:rsid w:val="5DB669A1"/>
    <w:rsid w:val="5FDB1EEF"/>
    <w:rsid w:val="605F645A"/>
    <w:rsid w:val="61FF1853"/>
    <w:rsid w:val="63774781"/>
    <w:rsid w:val="64046AB8"/>
    <w:rsid w:val="64073DEE"/>
    <w:rsid w:val="64137F7D"/>
    <w:rsid w:val="64580E33"/>
    <w:rsid w:val="64B4350F"/>
    <w:rsid w:val="64B45A34"/>
    <w:rsid w:val="653937BB"/>
    <w:rsid w:val="665E3732"/>
    <w:rsid w:val="67865E0A"/>
    <w:rsid w:val="68662796"/>
    <w:rsid w:val="68EA39A3"/>
    <w:rsid w:val="6962178B"/>
    <w:rsid w:val="69984DA4"/>
    <w:rsid w:val="6A4D243B"/>
    <w:rsid w:val="6B617A2B"/>
    <w:rsid w:val="6C526607"/>
    <w:rsid w:val="6CCB38CC"/>
    <w:rsid w:val="6E1F40EF"/>
    <w:rsid w:val="6E597B64"/>
    <w:rsid w:val="6EDD3662"/>
    <w:rsid w:val="6FE77F47"/>
    <w:rsid w:val="70B26133"/>
    <w:rsid w:val="72476F0D"/>
    <w:rsid w:val="73394CE8"/>
    <w:rsid w:val="73A45618"/>
    <w:rsid w:val="76572D5D"/>
    <w:rsid w:val="7860333A"/>
    <w:rsid w:val="78D70BEF"/>
    <w:rsid w:val="7C9E08D4"/>
    <w:rsid w:val="7EFE05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qFormat="1"/>
    <w:lsdException w:name="annotation text" w:semiHidden="0" w:uiPriority="0" w:qFormat="1"/>
    <w:lsdException w:name="header" w:semiHidden="0" w:qFormat="1"/>
    <w:lsdException w:name="footer" w:semiHidden="0" w:unhideWhenUsed="0" w:qFormat="1"/>
    <w:lsdException w:name="caption" w:uiPriority="35" w:qFormat="1"/>
    <w:lsdException w:name="footnote reference" w:qFormat="1"/>
    <w:lsdException w:name="annotation reference" w:uiPriority="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1"/>
    <w:qFormat/>
    <w:rsid w:val="00533F88"/>
    <w:pPr>
      <w:widowControl w:val="0"/>
      <w:jc w:val="both"/>
    </w:pPr>
    <w:rPr>
      <w:kern w:val="2"/>
      <w:sz w:val="21"/>
      <w:szCs w:val="24"/>
    </w:rPr>
  </w:style>
  <w:style w:type="paragraph" w:styleId="1">
    <w:name w:val="heading 1"/>
    <w:basedOn w:val="a0"/>
    <w:next w:val="a0"/>
    <w:qFormat/>
    <w:rsid w:val="00533F88"/>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rsid w:val="00533F88"/>
    <w:pPr>
      <w:ind w:firstLine="567"/>
    </w:pPr>
  </w:style>
  <w:style w:type="paragraph" w:styleId="a5">
    <w:name w:val="annotation text"/>
    <w:basedOn w:val="a0"/>
    <w:link w:val="Char1"/>
    <w:unhideWhenUsed/>
    <w:qFormat/>
    <w:rsid w:val="00533F88"/>
    <w:pPr>
      <w:jc w:val="left"/>
    </w:pPr>
  </w:style>
  <w:style w:type="paragraph" w:styleId="a">
    <w:name w:val="Body Text"/>
    <w:basedOn w:val="a0"/>
    <w:next w:val="10"/>
    <w:qFormat/>
    <w:rsid w:val="00533F88"/>
    <w:pPr>
      <w:numPr>
        <w:numId w:val="1"/>
      </w:numPr>
      <w:spacing w:after="120"/>
    </w:pPr>
    <w:rPr>
      <w:rFonts w:ascii="Calibri" w:hAnsi="Calibri"/>
      <w:szCs w:val="22"/>
    </w:rPr>
  </w:style>
  <w:style w:type="paragraph" w:customStyle="1" w:styleId="10">
    <w:name w:val="正文首行缩进1"/>
    <w:basedOn w:val="a0"/>
    <w:qFormat/>
    <w:rsid w:val="00533F88"/>
    <w:pPr>
      <w:spacing w:after="120"/>
      <w:ind w:firstLineChars="100" w:firstLine="420"/>
    </w:pPr>
  </w:style>
  <w:style w:type="paragraph" w:styleId="3">
    <w:name w:val="toc 3"/>
    <w:basedOn w:val="a0"/>
    <w:next w:val="a0"/>
    <w:uiPriority w:val="39"/>
    <w:qFormat/>
    <w:rsid w:val="00533F88"/>
    <w:pPr>
      <w:ind w:leftChars="400" w:left="840"/>
    </w:pPr>
  </w:style>
  <w:style w:type="paragraph" w:styleId="a6">
    <w:name w:val="Balloon Text"/>
    <w:basedOn w:val="a0"/>
    <w:link w:val="Char"/>
    <w:uiPriority w:val="99"/>
    <w:semiHidden/>
    <w:unhideWhenUsed/>
    <w:qFormat/>
    <w:rsid w:val="00533F88"/>
    <w:rPr>
      <w:sz w:val="18"/>
      <w:szCs w:val="18"/>
    </w:rPr>
  </w:style>
  <w:style w:type="paragraph" w:styleId="a7">
    <w:name w:val="footer"/>
    <w:basedOn w:val="a0"/>
    <w:link w:val="Char0"/>
    <w:uiPriority w:val="99"/>
    <w:qFormat/>
    <w:rsid w:val="00533F88"/>
    <w:pPr>
      <w:tabs>
        <w:tab w:val="center" w:pos="4153"/>
        <w:tab w:val="right" w:pos="8306"/>
      </w:tabs>
      <w:snapToGrid w:val="0"/>
      <w:jc w:val="left"/>
    </w:pPr>
    <w:rPr>
      <w:sz w:val="18"/>
      <w:szCs w:val="20"/>
    </w:rPr>
  </w:style>
  <w:style w:type="paragraph" w:styleId="a8">
    <w:name w:val="header"/>
    <w:basedOn w:val="a0"/>
    <w:link w:val="Char2"/>
    <w:uiPriority w:val="99"/>
    <w:unhideWhenUsed/>
    <w:qFormat/>
    <w:rsid w:val="00533F88"/>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unhideWhenUsed/>
    <w:qFormat/>
    <w:rsid w:val="00533F88"/>
  </w:style>
  <w:style w:type="paragraph" w:styleId="a9">
    <w:name w:val="footnote text"/>
    <w:basedOn w:val="a0"/>
    <w:uiPriority w:val="99"/>
    <w:semiHidden/>
    <w:unhideWhenUsed/>
    <w:qFormat/>
    <w:rsid w:val="00533F88"/>
    <w:pPr>
      <w:snapToGrid w:val="0"/>
      <w:jc w:val="left"/>
    </w:pPr>
    <w:rPr>
      <w:sz w:val="18"/>
    </w:rPr>
  </w:style>
  <w:style w:type="paragraph" w:styleId="2">
    <w:name w:val="toc 2"/>
    <w:basedOn w:val="a0"/>
    <w:next w:val="a0"/>
    <w:uiPriority w:val="39"/>
    <w:unhideWhenUsed/>
    <w:qFormat/>
    <w:rsid w:val="00533F88"/>
    <w:pPr>
      <w:ind w:leftChars="200" w:left="420"/>
    </w:pPr>
  </w:style>
  <w:style w:type="paragraph" w:styleId="aa">
    <w:name w:val="annotation subject"/>
    <w:basedOn w:val="a5"/>
    <w:next w:val="a5"/>
    <w:link w:val="Char3"/>
    <w:uiPriority w:val="99"/>
    <w:semiHidden/>
    <w:unhideWhenUsed/>
    <w:qFormat/>
    <w:rsid w:val="00533F88"/>
    <w:rPr>
      <w:b/>
      <w:bCs/>
    </w:rPr>
  </w:style>
  <w:style w:type="table" w:styleId="ab">
    <w:name w:val="Table Grid"/>
    <w:basedOn w:val="a2"/>
    <w:uiPriority w:val="59"/>
    <w:qFormat/>
    <w:rsid w:val="00533F8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semiHidden/>
    <w:unhideWhenUsed/>
    <w:qFormat/>
    <w:rsid w:val="00533F88"/>
    <w:rPr>
      <w:color w:val="0000FF"/>
      <w:u w:val="single"/>
    </w:rPr>
  </w:style>
  <w:style w:type="character" w:styleId="ad">
    <w:name w:val="annotation reference"/>
    <w:basedOn w:val="a1"/>
    <w:semiHidden/>
    <w:unhideWhenUsed/>
    <w:qFormat/>
    <w:rsid w:val="00533F88"/>
    <w:rPr>
      <w:sz w:val="21"/>
      <w:szCs w:val="21"/>
    </w:rPr>
  </w:style>
  <w:style w:type="character" w:styleId="ae">
    <w:name w:val="footnote reference"/>
    <w:basedOn w:val="a1"/>
    <w:uiPriority w:val="99"/>
    <w:semiHidden/>
    <w:unhideWhenUsed/>
    <w:qFormat/>
    <w:rsid w:val="00533F88"/>
    <w:rPr>
      <w:vertAlign w:val="superscript"/>
    </w:rPr>
  </w:style>
  <w:style w:type="character" w:customStyle="1" w:styleId="Char0">
    <w:name w:val="页脚 Char"/>
    <w:basedOn w:val="a1"/>
    <w:link w:val="a7"/>
    <w:uiPriority w:val="99"/>
    <w:qFormat/>
    <w:rsid w:val="00533F88"/>
    <w:rPr>
      <w:rFonts w:ascii="Times New Roman" w:eastAsia="宋体" w:hAnsi="Times New Roman" w:cs="Times New Roman"/>
      <w:sz w:val="18"/>
      <w:szCs w:val="20"/>
    </w:rPr>
  </w:style>
  <w:style w:type="character" w:customStyle="1" w:styleId="Char2">
    <w:name w:val="页眉 Char"/>
    <w:basedOn w:val="a1"/>
    <w:link w:val="a8"/>
    <w:uiPriority w:val="99"/>
    <w:qFormat/>
    <w:rsid w:val="00533F88"/>
    <w:rPr>
      <w:rFonts w:ascii="Times New Roman" w:eastAsia="宋体" w:hAnsi="Times New Roman" w:cs="Times New Roman"/>
      <w:sz w:val="18"/>
      <w:szCs w:val="18"/>
    </w:rPr>
  </w:style>
  <w:style w:type="character" w:customStyle="1" w:styleId="Char1">
    <w:name w:val="批注文字 Char1"/>
    <w:basedOn w:val="a1"/>
    <w:link w:val="a5"/>
    <w:uiPriority w:val="99"/>
    <w:semiHidden/>
    <w:qFormat/>
    <w:rsid w:val="00533F88"/>
    <w:rPr>
      <w:rFonts w:ascii="Times New Roman" w:eastAsia="宋体" w:hAnsi="Times New Roman" w:cs="Times New Roman"/>
      <w:szCs w:val="24"/>
    </w:rPr>
  </w:style>
  <w:style w:type="character" w:customStyle="1" w:styleId="Char3">
    <w:name w:val="批注主题 Char"/>
    <w:basedOn w:val="Char1"/>
    <w:link w:val="aa"/>
    <w:uiPriority w:val="99"/>
    <w:semiHidden/>
    <w:qFormat/>
    <w:rsid w:val="00533F88"/>
    <w:rPr>
      <w:rFonts w:ascii="Times New Roman" w:eastAsia="宋体" w:hAnsi="Times New Roman" w:cs="Times New Roman"/>
      <w:b/>
      <w:bCs/>
      <w:szCs w:val="24"/>
    </w:rPr>
  </w:style>
  <w:style w:type="character" w:customStyle="1" w:styleId="Char">
    <w:name w:val="批注框文本 Char"/>
    <w:basedOn w:val="a1"/>
    <w:link w:val="a6"/>
    <w:uiPriority w:val="99"/>
    <w:semiHidden/>
    <w:qFormat/>
    <w:rsid w:val="00533F88"/>
    <w:rPr>
      <w:rFonts w:ascii="Times New Roman" w:eastAsia="宋体" w:hAnsi="Times New Roman" w:cs="Times New Roman"/>
      <w:sz w:val="18"/>
      <w:szCs w:val="18"/>
    </w:rPr>
  </w:style>
  <w:style w:type="character" w:customStyle="1" w:styleId="Char4">
    <w:name w:val="批注文字 Char"/>
    <w:qFormat/>
    <w:rsid w:val="00533F88"/>
    <w:rPr>
      <w:rFonts w:eastAsia="仿宋_GB2312"/>
      <w:kern w:val="2"/>
      <w:sz w:val="30"/>
      <w:szCs w:val="24"/>
    </w:rPr>
  </w:style>
  <w:style w:type="paragraph" w:customStyle="1" w:styleId="TOC1">
    <w:name w:val="TOC 标题1"/>
    <w:basedOn w:val="1"/>
    <w:next w:val="a0"/>
    <w:uiPriority w:val="39"/>
    <w:unhideWhenUsed/>
    <w:qFormat/>
    <w:rsid w:val="00533F8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font31">
    <w:name w:val="font31"/>
    <w:basedOn w:val="a1"/>
    <w:qFormat/>
    <w:rsid w:val="00533F88"/>
    <w:rPr>
      <w:rFonts w:ascii="宋体" w:eastAsia="宋体" w:hAnsi="宋体" w:cs="宋体" w:hint="eastAsia"/>
      <w:color w:val="000000"/>
      <w:sz w:val="20"/>
      <w:szCs w:val="20"/>
      <w:u w:val="none"/>
    </w:rPr>
  </w:style>
  <w:style w:type="character" w:customStyle="1" w:styleId="font51">
    <w:name w:val="font51"/>
    <w:basedOn w:val="a1"/>
    <w:qFormat/>
    <w:rsid w:val="00533F88"/>
    <w:rPr>
      <w:rFonts w:ascii="宋体" w:eastAsia="宋体" w:hAnsi="宋体" w:cs="宋体" w:hint="eastAsia"/>
      <w:color w:val="000000"/>
      <w:sz w:val="20"/>
      <w:szCs w:val="20"/>
      <w:u w:val="none"/>
    </w:rPr>
  </w:style>
  <w:style w:type="character" w:customStyle="1" w:styleId="font41">
    <w:name w:val="font41"/>
    <w:basedOn w:val="a1"/>
    <w:qFormat/>
    <w:rsid w:val="00533F88"/>
    <w:rPr>
      <w:rFonts w:ascii="宋体" w:eastAsia="宋体" w:hAnsi="宋体" w:cs="宋体" w:hint="eastAsia"/>
      <w:color w:val="000000"/>
      <w:sz w:val="20"/>
      <w:szCs w:val="20"/>
      <w:u w:val="none"/>
    </w:rPr>
  </w:style>
  <w:style w:type="character" w:customStyle="1" w:styleId="font21">
    <w:name w:val="font21"/>
    <w:basedOn w:val="a1"/>
    <w:rsid w:val="00533F88"/>
    <w:rPr>
      <w:rFonts w:ascii="宋体" w:eastAsia="宋体" w:hAnsi="宋体" w:cs="宋体" w:hint="eastAsia"/>
      <w:b/>
      <w:bCs/>
      <w:color w:val="000000"/>
      <w:sz w:val="20"/>
      <w:szCs w:val="2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30"/>
      <c:depthPercent val="100"/>
      <c:perspective val="30"/>
    </c:view3D>
    <c:floor>
      <c:spPr>
        <a:noFill/>
        <a:effectLst/>
      </c:spPr>
    </c:floor>
    <c:sideWall>
      <c:spPr>
        <a:noFill/>
        <a:effectLst/>
      </c:spPr>
    </c:sideWall>
    <c:backWall>
      <c:spPr>
        <a:noFill/>
        <a:effectLst/>
      </c:spPr>
    </c:backWall>
    <c:plotArea>
      <c:layout/>
      <c:pie3DChart>
        <c:varyColors val="1"/>
        <c:ser>
          <c:idx val="0"/>
          <c:order val="0"/>
          <c:tx>
            <c:strRef>
              <c:f>Sheet1!$B$1</c:f>
              <c:strCache>
                <c:ptCount val="1"/>
                <c:pt idx="0">
                  <c:v>销售额</c:v>
                </c:pt>
              </c:strCache>
            </c:strRef>
          </c:tx>
          <c:spPr>
            <a:scene3d>
              <a:camera prst="orthographicFront"/>
              <a:lightRig rig="threePt" dir="t"/>
            </a:scene3d>
            <a:sp3d contourW="9525"/>
          </c:spPr>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contourW="9525"/>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contourW="9525"/>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contourW="9525"/>
            </c:spPr>
          </c:dPt>
          <c:dLbls>
            <c:dLbl>
              <c:idx val="0"/>
              <c:tx>
                <c:rich>
                  <a:bodyPr/>
                  <a:lstStyle/>
                  <a:p>
                    <a:r>
                      <a:rPr lang="zh-CN" altLang="en-US"/>
                      <a:t>固定资产</a:t>
                    </a:r>
                    <a:r>
                      <a:rPr lang="en-US" altLang="zh-CN"/>
                      <a:t>, 2534.44</a:t>
                    </a:r>
                    <a:r>
                      <a:rPr lang="zh-CN" altLang="en-US"/>
                      <a:t>万元</a:t>
                    </a:r>
                    <a:r>
                      <a:rPr lang="en-US" altLang="zh-CN"/>
                      <a:t>, 80.58%</a:t>
                    </a:r>
                  </a:p>
                </c:rich>
              </c:tx>
              <c:dLblPos val="bestFit"/>
              <c:showVal val="1"/>
              <c:showCatName val="1"/>
              <c:showPercent val="1"/>
              <c:extLst>
                <c:ext xmlns:c15="http://schemas.microsoft.com/office/drawing/2012/chart" uri="{CE6537A1-D6FC-4f65-9D91-7224C49458BB}"/>
              </c:extLst>
            </c:dLbl>
            <c:dLbl>
              <c:idx val="1"/>
              <c:layout>
                <c:manualLayout>
                  <c:x val="0"/>
                  <c:y val="-0.11418904631000201"/>
                </c:manualLayout>
              </c:layout>
              <c:tx>
                <c:rich>
                  <a:bodyPr/>
                  <a:lstStyle/>
                  <a:p>
                    <a:r>
                      <a:rPr lang="zh-CN" altLang="en-US"/>
                      <a:t>无形资产</a:t>
                    </a:r>
                    <a:r>
                      <a:rPr lang="en-US" altLang="zh-CN"/>
                      <a:t>, 141.94</a:t>
                    </a:r>
                    <a:r>
                      <a:rPr lang="zh-CN" altLang="en-US"/>
                      <a:t>万元</a:t>
                    </a:r>
                    <a:r>
                      <a:rPr lang="en-US" altLang="zh-CN"/>
                      <a:t>, 4.51%</a:t>
                    </a:r>
                  </a:p>
                </c:rich>
              </c:tx>
              <c:dLblPos val="bestFit"/>
              <c:showVal val="1"/>
              <c:showCatName val="1"/>
              <c:showPercent val="1"/>
              <c:extLst>
                <c:ext xmlns:c15="http://schemas.microsoft.com/office/drawing/2012/chart" uri="{CE6537A1-D6FC-4f65-9D91-7224C49458BB}"/>
              </c:extLst>
            </c:dLbl>
            <c:dLbl>
              <c:idx val="2"/>
              <c:layout>
                <c:manualLayout>
                  <c:x val="0.19758874748827904"/>
                  <c:y val="-3.8763472543096908E-2"/>
                </c:manualLayout>
              </c:layout>
              <c:tx>
                <c:rich>
                  <a:bodyPr/>
                  <a:lstStyle/>
                  <a:p>
                    <a:r>
                      <a:rPr lang="zh-CN" altLang="en-US"/>
                      <a:t>流动资产</a:t>
                    </a:r>
                    <a:r>
                      <a:rPr lang="en-US" altLang="zh-CN"/>
                      <a:t>, 469.02</a:t>
                    </a:r>
                    <a:r>
                      <a:rPr lang="zh-CN" altLang="en-US"/>
                      <a:t>万元</a:t>
                    </a:r>
                    <a:r>
                      <a:rPr lang="en-US" altLang="zh-CN"/>
                      <a:t>, 14.91%</a:t>
                    </a:r>
                  </a:p>
                </c:rich>
              </c:tx>
              <c:dLblPos val="bestFit"/>
              <c:showVal val="1"/>
              <c:showCatName val="1"/>
              <c:showPercent val="1"/>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CatName val="1"/>
            <c:showPercent val="1"/>
            <c:showLeaderLines val="1"/>
            <c:extLst>
              <c:ext xmlns:c15="http://schemas.microsoft.com/office/drawing/2012/chart" uri="{CE6537A1-D6FC-4f65-9D91-7224C49458BB}"/>
            </c:extLst>
          </c:dLbls>
          <c:cat>
            <c:strRef>
              <c:f>Sheet1!$A$2:$A$4</c:f>
              <c:strCache>
                <c:ptCount val="3"/>
                <c:pt idx="0">
                  <c:v>固定资产</c:v>
                </c:pt>
                <c:pt idx="1">
                  <c:v>无形资产</c:v>
                </c:pt>
                <c:pt idx="2">
                  <c:v>流动资产</c:v>
                </c:pt>
              </c:strCache>
            </c:strRef>
          </c:cat>
          <c:val>
            <c:numRef>
              <c:f>Sheet1!$B$2:$B$4</c:f>
              <c:numCache>
                <c:formatCode>General</c:formatCode>
                <c:ptCount val="3"/>
                <c:pt idx="0">
                  <c:v>2534.44</c:v>
                </c:pt>
                <c:pt idx="1">
                  <c:v>141.94</c:v>
                </c:pt>
                <c:pt idx="2">
                  <c:v>469.02</c:v>
                </c:pt>
              </c:numCache>
            </c:numRef>
          </c:val>
        </c:ser>
        <c:dLbls>
          <c:showVal val="1"/>
        </c:dLbls>
      </c:pie3D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BD33D6-153E-47F6-9590-407848C9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2794</Words>
  <Characters>15931</Characters>
  <Application>Microsoft Office Word</Application>
  <DocSecurity>0</DocSecurity>
  <Lines>132</Lines>
  <Paragraphs>37</Paragraphs>
  <ScaleCrop>false</ScaleCrop>
  <Company/>
  <LinksUpToDate>false</LinksUpToDate>
  <CharactersWithSpaces>18688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3333</cp:lastModifiedBy>
  <cp:revision>31</cp:revision>
  <dcterms:created xsi:type="dcterms:W3CDTF">2022-04-15T07:49:00Z</dcterms:created>
  <dcterms:modified xsi:type="dcterms:W3CDTF">2023-08-22T03:13:00Z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33FAAC8BF24842AC8DCB71C6BA11D217</vt:lpwstr>
  </property>
</Properties>
</file>